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9E946" w14:textId="097291B7" w:rsidR="00D87C87" w:rsidRPr="005623DC" w:rsidRDefault="00D87C87" w:rsidP="00D87C87">
      <w:pPr>
        <w:jc w:val="center"/>
        <w:rPr>
          <w:rFonts w:eastAsia="Calibri"/>
          <w:b/>
        </w:rPr>
      </w:pPr>
      <w:bookmarkStart w:id="0" w:name="_GoBack"/>
      <w:bookmarkEnd w:id="0"/>
      <w:r w:rsidRPr="005623DC">
        <w:rPr>
          <w:rFonts w:eastAsia="Calibri"/>
          <w:b/>
        </w:rPr>
        <w:t xml:space="preserve">Term of Reference </w:t>
      </w:r>
    </w:p>
    <w:tbl>
      <w:tblPr>
        <w:tblStyle w:val="TableGrid"/>
        <w:tblW w:w="9067" w:type="dxa"/>
        <w:tblLook w:val="04A0" w:firstRow="1" w:lastRow="0" w:firstColumn="1" w:lastColumn="0" w:noHBand="0" w:noVBand="1"/>
      </w:tblPr>
      <w:tblGrid>
        <w:gridCol w:w="3256"/>
        <w:gridCol w:w="5811"/>
      </w:tblGrid>
      <w:tr w:rsidR="00D87C87" w:rsidRPr="005623DC" w14:paraId="676EBD25" w14:textId="77777777" w:rsidTr="00016733">
        <w:trPr>
          <w:trHeight w:val="252"/>
        </w:trPr>
        <w:tc>
          <w:tcPr>
            <w:tcW w:w="3256" w:type="dxa"/>
          </w:tcPr>
          <w:p w14:paraId="21FDB20D" w14:textId="77777777" w:rsidR="00D87C87" w:rsidRPr="005623DC" w:rsidRDefault="00D87C87" w:rsidP="00016733">
            <w:pPr>
              <w:rPr>
                <w:rFonts w:eastAsia="Calibri"/>
                <w:b/>
                <w:color w:val="0070C0"/>
              </w:rPr>
            </w:pPr>
            <w:r w:rsidRPr="005623DC">
              <w:rPr>
                <w:rFonts w:eastAsia="Calibri"/>
                <w:b/>
                <w:color w:val="0070C0"/>
              </w:rPr>
              <w:t xml:space="preserve">Job title:                     </w:t>
            </w:r>
          </w:p>
        </w:tc>
        <w:tc>
          <w:tcPr>
            <w:tcW w:w="5811" w:type="dxa"/>
          </w:tcPr>
          <w:p w14:paraId="1CA45572" w14:textId="5D0E8F15" w:rsidR="00D87C87" w:rsidRPr="005623DC" w:rsidRDefault="00D87C87" w:rsidP="00D87C87">
            <w:pPr>
              <w:rPr>
                <w:rFonts w:eastAsia="Calibri"/>
                <w:b/>
                <w:color w:val="0070C0"/>
              </w:rPr>
            </w:pPr>
            <w:r w:rsidRPr="005623DC">
              <w:rPr>
                <w:rFonts w:eastAsia="Calibri"/>
                <w:b/>
                <w:color w:val="0070C0"/>
              </w:rPr>
              <w:t>Programme Analyst</w:t>
            </w:r>
          </w:p>
        </w:tc>
      </w:tr>
      <w:tr w:rsidR="00D87C87" w:rsidRPr="005623DC" w14:paraId="5699312A" w14:textId="77777777" w:rsidTr="00016733">
        <w:trPr>
          <w:trHeight w:val="263"/>
        </w:trPr>
        <w:tc>
          <w:tcPr>
            <w:tcW w:w="3256" w:type="dxa"/>
          </w:tcPr>
          <w:p w14:paraId="1E5B2044" w14:textId="77777777" w:rsidR="00D87C87" w:rsidRPr="005623DC" w:rsidRDefault="00D87C87" w:rsidP="00016733">
            <w:pPr>
              <w:rPr>
                <w:rFonts w:eastAsia="Calibri"/>
                <w:b/>
                <w:color w:val="0070C0"/>
              </w:rPr>
            </w:pPr>
            <w:r w:rsidRPr="005623DC">
              <w:rPr>
                <w:rFonts w:eastAsia="Calibri"/>
                <w:b/>
                <w:color w:val="0070C0"/>
              </w:rPr>
              <w:t>Posting Title</w:t>
            </w:r>
          </w:p>
        </w:tc>
        <w:tc>
          <w:tcPr>
            <w:tcW w:w="5811" w:type="dxa"/>
          </w:tcPr>
          <w:p w14:paraId="28F192CB" w14:textId="58D15174" w:rsidR="00D87C87" w:rsidRPr="005623DC" w:rsidRDefault="00D87C87" w:rsidP="00B72382">
            <w:pPr>
              <w:rPr>
                <w:rFonts w:eastAsia="Calibri"/>
                <w:b/>
                <w:color w:val="0070C0"/>
              </w:rPr>
            </w:pPr>
            <w:r w:rsidRPr="005623DC">
              <w:rPr>
                <w:rFonts w:eastAsia="Calibri"/>
                <w:b/>
                <w:color w:val="0070C0"/>
              </w:rPr>
              <w:t>National Post:  Roster, Programme Analyst</w:t>
            </w:r>
          </w:p>
        </w:tc>
      </w:tr>
      <w:tr w:rsidR="00D87C87" w:rsidRPr="005623DC" w14:paraId="32F3C735" w14:textId="77777777" w:rsidTr="00016733">
        <w:trPr>
          <w:trHeight w:val="263"/>
        </w:trPr>
        <w:tc>
          <w:tcPr>
            <w:tcW w:w="3256" w:type="dxa"/>
          </w:tcPr>
          <w:p w14:paraId="4DFFF3AB" w14:textId="77777777" w:rsidR="00D87C87" w:rsidRPr="005623DC" w:rsidRDefault="00D87C87" w:rsidP="00016733">
            <w:pPr>
              <w:rPr>
                <w:rFonts w:eastAsia="Calibri"/>
                <w:b/>
                <w:color w:val="0070C0"/>
              </w:rPr>
            </w:pPr>
            <w:r w:rsidRPr="005623DC">
              <w:rPr>
                <w:rFonts w:eastAsia="Calibri"/>
                <w:b/>
                <w:color w:val="0070C0"/>
              </w:rPr>
              <w:t>Level:</w:t>
            </w:r>
          </w:p>
        </w:tc>
        <w:tc>
          <w:tcPr>
            <w:tcW w:w="5811" w:type="dxa"/>
          </w:tcPr>
          <w:p w14:paraId="6F33D809" w14:textId="5497F719" w:rsidR="00D87C87" w:rsidRPr="005623DC" w:rsidRDefault="00D87C87" w:rsidP="00D87C87">
            <w:pPr>
              <w:rPr>
                <w:rFonts w:eastAsia="Calibri"/>
                <w:b/>
                <w:color w:val="0070C0"/>
              </w:rPr>
            </w:pPr>
            <w:r w:rsidRPr="005623DC">
              <w:rPr>
                <w:rFonts w:eastAsia="Calibri"/>
                <w:b/>
                <w:color w:val="0070C0"/>
              </w:rPr>
              <w:t>NOB</w:t>
            </w:r>
          </w:p>
        </w:tc>
      </w:tr>
      <w:tr w:rsidR="00D87C87" w:rsidRPr="005623DC" w14:paraId="3C07C2F7" w14:textId="77777777" w:rsidTr="00016733">
        <w:trPr>
          <w:trHeight w:val="252"/>
        </w:trPr>
        <w:tc>
          <w:tcPr>
            <w:tcW w:w="3256" w:type="dxa"/>
          </w:tcPr>
          <w:p w14:paraId="4D2E127F" w14:textId="77777777" w:rsidR="00D87C87" w:rsidRPr="005623DC" w:rsidRDefault="00D87C87" w:rsidP="00016733">
            <w:pPr>
              <w:rPr>
                <w:rFonts w:eastAsia="Calibri"/>
                <w:b/>
                <w:color w:val="0070C0"/>
              </w:rPr>
            </w:pPr>
            <w:r w:rsidRPr="005623DC">
              <w:rPr>
                <w:rFonts w:eastAsia="Calibri"/>
                <w:b/>
                <w:color w:val="0070C0"/>
              </w:rPr>
              <w:t>Position Number:</w:t>
            </w:r>
          </w:p>
        </w:tc>
        <w:tc>
          <w:tcPr>
            <w:tcW w:w="5811" w:type="dxa"/>
          </w:tcPr>
          <w:p w14:paraId="7B886E98" w14:textId="65FE2EA5" w:rsidR="00D87C87" w:rsidRPr="005623DC" w:rsidRDefault="00D87C87" w:rsidP="00016733">
            <w:pPr>
              <w:pBdr>
                <w:top w:val="nil"/>
                <w:left w:val="nil"/>
                <w:bottom w:val="nil"/>
                <w:right w:val="nil"/>
                <w:between w:val="nil"/>
              </w:pBdr>
              <w:rPr>
                <w:rFonts w:eastAsia="Calibri"/>
                <w:b/>
                <w:color w:val="0070C0"/>
              </w:rPr>
            </w:pPr>
            <w:r w:rsidRPr="005623DC">
              <w:rPr>
                <w:rFonts w:eastAsia="Calibri"/>
                <w:b/>
                <w:color w:val="0070C0"/>
              </w:rPr>
              <w:t>Roster</w:t>
            </w:r>
          </w:p>
        </w:tc>
      </w:tr>
      <w:tr w:rsidR="00D87C87" w:rsidRPr="005623DC" w14:paraId="20A9E79B" w14:textId="77777777" w:rsidTr="00016733">
        <w:trPr>
          <w:trHeight w:val="252"/>
        </w:trPr>
        <w:tc>
          <w:tcPr>
            <w:tcW w:w="3256" w:type="dxa"/>
          </w:tcPr>
          <w:p w14:paraId="10CF606A" w14:textId="77777777" w:rsidR="00D87C87" w:rsidRPr="005623DC" w:rsidRDefault="00D87C87" w:rsidP="00016733">
            <w:pPr>
              <w:rPr>
                <w:rFonts w:eastAsia="Calibri"/>
                <w:b/>
                <w:color w:val="0070C0"/>
              </w:rPr>
            </w:pPr>
            <w:r w:rsidRPr="005623DC">
              <w:rPr>
                <w:rFonts w:eastAsia="Calibri"/>
                <w:b/>
                <w:color w:val="0070C0"/>
              </w:rPr>
              <w:t>Location:</w:t>
            </w:r>
          </w:p>
        </w:tc>
        <w:tc>
          <w:tcPr>
            <w:tcW w:w="5811" w:type="dxa"/>
          </w:tcPr>
          <w:p w14:paraId="7EB27E72" w14:textId="77777777" w:rsidR="00D87C87" w:rsidRPr="005623DC" w:rsidRDefault="00D87C87" w:rsidP="00016733">
            <w:pPr>
              <w:rPr>
                <w:rFonts w:eastAsia="Calibri"/>
                <w:b/>
                <w:color w:val="0070C0"/>
              </w:rPr>
            </w:pPr>
            <w:r w:rsidRPr="005623DC">
              <w:rPr>
                <w:rFonts w:eastAsia="Calibri"/>
                <w:b/>
                <w:color w:val="0070C0"/>
              </w:rPr>
              <w:t>Dili, Timor Leste</w:t>
            </w:r>
          </w:p>
        </w:tc>
      </w:tr>
      <w:tr w:rsidR="00D87C87" w:rsidRPr="005623DC" w14:paraId="16448006" w14:textId="77777777" w:rsidTr="00016733">
        <w:trPr>
          <w:trHeight w:val="252"/>
        </w:trPr>
        <w:tc>
          <w:tcPr>
            <w:tcW w:w="3256" w:type="dxa"/>
          </w:tcPr>
          <w:p w14:paraId="3126F974" w14:textId="77777777" w:rsidR="00D87C87" w:rsidRPr="005623DC" w:rsidRDefault="00D87C87" w:rsidP="00016733">
            <w:pPr>
              <w:rPr>
                <w:rFonts w:eastAsia="Calibri"/>
                <w:b/>
                <w:color w:val="0070C0"/>
              </w:rPr>
            </w:pPr>
            <w:r w:rsidRPr="005623DC">
              <w:rPr>
                <w:rFonts w:eastAsia="Calibri"/>
                <w:b/>
                <w:color w:val="0070C0"/>
              </w:rPr>
              <w:t>Full/Part time:</w:t>
            </w:r>
          </w:p>
        </w:tc>
        <w:tc>
          <w:tcPr>
            <w:tcW w:w="5811" w:type="dxa"/>
          </w:tcPr>
          <w:p w14:paraId="3F3CB04E" w14:textId="77777777" w:rsidR="00D87C87" w:rsidRPr="005623DC" w:rsidRDefault="00D87C87" w:rsidP="00016733">
            <w:pPr>
              <w:rPr>
                <w:rFonts w:eastAsia="Calibri"/>
                <w:b/>
                <w:color w:val="0070C0"/>
              </w:rPr>
            </w:pPr>
            <w:r w:rsidRPr="005623DC">
              <w:rPr>
                <w:rFonts w:eastAsia="Calibri"/>
                <w:b/>
                <w:color w:val="0070C0"/>
              </w:rPr>
              <w:t>Full-Time</w:t>
            </w:r>
          </w:p>
        </w:tc>
      </w:tr>
      <w:tr w:rsidR="00D87C87" w:rsidRPr="005623DC" w14:paraId="154E364C" w14:textId="77777777" w:rsidTr="00016733">
        <w:trPr>
          <w:trHeight w:val="317"/>
        </w:trPr>
        <w:tc>
          <w:tcPr>
            <w:tcW w:w="3256" w:type="dxa"/>
          </w:tcPr>
          <w:p w14:paraId="5CF017EE" w14:textId="77777777" w:rsidR="00D87C87" w:rsidRPr="005623DC" w:rsidRDefault="00D87C87" w:rsidP="00016733">
            <w:pPr>
              <w:rPr>
                <w:rFonts w:eastAsia="Calibri"/>
                <w:b/>
                <w:color w:val="0070C0"/>
              </w:rPr>
            </w:pPr>
            <w:r w:rsidRPr="005623DC">
              <w:rPr>
                <w:rFonts w:eastAsia="Calibri"/>
                <w:b/>
                <w:color w:val="0070C0"/>
              </w:rPr>
              <w:t>Fixed term/Temporary:</w:t>
            </w:r>
          </w:p>
        </w:tc>
        <w:tc>
          <w:tcPr>
            <w:tcW w:w="5811" w:type="dxa"/>
          </w:tcPr>
          <w:p w14:paraId="01D2F6AF" w14:textId="77777777" w:rsidR="00D87C87" w:rsidRPr="005623DC" w:rsidRDefault="00D87C87" w:rsidP="00016733">
            <w:pPr>
              <w:pBdr>
                <w:top w:val="nil"/>
                <w:left w:val="nil"/>
                <w:bottom w:val="nil"/>
                <w:right w:val="nil"/>
                <w:between w:val="nil"/>
              </w:pBdr>
              <w:rPr>
                <w:rFonts w:eastAsia="Calibri"/>
                <w:b/>
                <w:color w:val="0070C0"/>
              </w:rPr>
            </w:pPr>
            <w:r w:rsidRPr="005623DC">
              <w:rPr>
                <w:rFonts w:eastAsia="Calibri"/>
                <w:b/>
                <w:color w:val="0070C0"/>
              </w:rPr>
              <w:t xml:space="preserve">Fixed Term </w:t>
            </w:r>
          </w:p>
        </w:tc>
      </w:tr>
      <w:tr w:rsidR="00D87C87" w:rsidRPr="005623DC" w14:paraId="54ED8B0F" w14:textId="77777777" w:rsidTr="00016733">
        <w:trPr>
          <w:trHeight w:val="279"/>
        </w:trPr>
        <w:tc>
          <w:tcPr>
            <w:tcW w:w="3256" w:type="dxa"/>
          </w:tcPr>
          <w:p w14:paraId="7485C738" w14:textId="77777777" w:rsidR="00D87C87" w:rsidRPr="005623DC" w:rsidRDefault="00D87C87" w:rsidP="00016733">
            <w:pPr>
              <w:rPr>
                <w:rFonts w:eastAsia="Calibri"/>
                <w:b/>
                <w:color w:val="0070C0"/>
              </w:rPr>
            </w:pPr>
            <w:r w:rsidRPr="005623DC">
              <w:rPr>
                <w:rFonts w:eastAsia="Calibri"/>
                <w:b/>
                <w:color w:val="0070C0"/>
              </w:rPr>
              <w:t>Rotational/Non Rotational:</w:t>
            </w:r>
          </w:p>
        </w:tc>
        <w:tc>
          <w:tcPr>
            <w:tcW w:w="5811" w:type="dxa"/>
          </w:tcPr>
          <w:p w14:paraId="4B38965F" w14:textId="77777777" w:rsidR="00D87C87" w:rsidRPr="005623DC" w:rsidRDefault="00D87C87" w:rsidP="00016733">
            <w:pPr>
              <w:pBdr>
                <w:top w:val="nil"/>
                <w:left w:val="nil"/>
                <w:bottom w:val="nil"/>
                <w:right w:val="nil"/>
                <w:between w:val="nil"/>
              </w:pBdr>
              <w:rPr>
                <w:rFonts w:eastAsia="Calibri"/>
                <w:b/>
                <w:color w:val="0070C0"/>
              </w:rPr>
            </w:pPr>
            <w:r w:rsidRPr="005623DC">
              <w:rPr>
                <w:rFonts w:eastAsia="Calibri"/>
                <w:b/>
                <w:color w:val="0070C0"/>
              </w:rPr>
              <w:t>Non-Rotational</w:t>
            </w:r>
          </w:p>
        </w:tc>
      </w:tr>
      <w:tr w:rsidR="00D87C87" w:rsidRPr="005623DC" w14:paraId="7FEE9836" w14:textId="77777777" w:rsidTr="00016733">
        <w:trPr>
          <w:trHeight w:val="252"/>
        </w:trPr>
        <w:tc>
          <w:tcPr>
            <w:tcW w:w="3256" w:type="dxa"/>
          </w:tcPr>
          <w:p w14:paraId="37FCA268" w14:textId="77777777" w:rsidR="00D87C87" w:rsidRPr="005623DC" w:rsidRDefault="00D87C87" w:rsidP="00016733">
            <w:pPr>
              <w:rPr>
                <w:rFonts w:eastAsia="Calibri"/>
                <w:b/>
                <w:color w:val="0070C0"/>
              </w:rPr>
            </w:pPr>
            <w:r w:rsidRPr="005623DC">
              <w:rPr>
                <w:rFonts w:eastAsia="Calibri"/>
                <w:b/>
                <w:color w:val="0070C0"/>
              </w:rPr>
              <w:t>Duration:</w:t>
            </w:r>
          </w:p>
        </w:tc>
        <w:tc>
          <w:tcPr>
            <w:tcW w:w="5811" w:type="dxa"/>
          </w:tcPr>
          <w:p w14:paraId="71EF2F18" w14:textId="77777777" w:rsidR="00D87C87" w:rsidRPr="005623DC" w:rsidRDefault="00D87C87" w:rsidP="00016733">
            <w:pPr>
              <w:rPr>
                <w:rFonts w:eastAsia="Calibri"/>
                <w:b/>
                <w:color w:val="0070C0"/>
              </w:rPr>
            </w:pPr>
            <w:r w:rsidRPr="005623DC">
              <w:rPr>
                <w:rFonts w:eastAsia="Calibri"/>
                <w:b/>
                <w:color w:val="0070C0"/>
              </w:rPr>
              <w:t>One year (renewable)</w:t>
            </w:r>
          </w:p>
        </w:tc>
      </w:tr>
      <w:tr w:rsidR="00D87C87" w:rsidRPr="005623DC" w14:paraId="2C4771D4" w14:textId="77777777" w:rsidTr="00016733">
        <w:trPr>
          <w:trHeight w:val="252"/>
        </w:trPr>
        <w:tc>
          <w:tcPr>
            <w:tcW w:w="3256" w:type="dxa"/>
          </w:tcPr>
          <w:p w14:paraId="7F52506A" w14:textId="77777777" w:rsidR="00D87C87" w:rsidRPr="005623DC" w:rsidRDefault="00D87C87" w:rsidP="00016733">
            <w:pPr>
              <w:rPr>
                <w:rFonts w:eastAsia="Calibri"/>
                <w:b/>
                <w:color w:val="0070C0"/>
              </w:rPr>
            </w:pPr>
            <w:r w:rsidRPr="005623DC">
              <w:rPr>
                <w:rFonts w:eastAsia="Calibri"/>
                <w:b/>
                <w:color w:val="0070C0"/>
              </w:rPr>
              <w:t>Posting date:</w:t>
            </w:r>
          </w:p>
        </w:tc>
        <w:tc>
          <w:tcPr>
            <w:tcW w:w="5811" w:type="dxa"/>
          </w:tcPr>
          <w:p w14:paraId="13E3FC01" w14:textId="76104DC0" w:rsidR="00D87C87" w:rsidRPr="005623DC" w:rsidRDefault="003851C8" w:rsidP="003851C8">
            <w:pPr>
              <w:rPr>
                <w:rFonts w:eastAsia="Calibri"/>
                <w:b/>
                <w:color w:val="0070C0"/>
              </w:rPr>
            </w:pPr>
            <w:r>
              <w:rPr>
                <w:rFonts w:eastAsia="Calibri"/>
                <w:b/>
                <w:color w:val="0070C0"/>
              </w:rPr>
              <w:t>Wednesday</w:t>
            </w:r>
            <w:r w:rsidR="00D87C87" w:rsidRPr="005623DC">
              <w:rPr>
                <w:rFonts w:eastAsia="Calibri"/>
                <w:b/>
                <w:color w:val="0070C0"/>
              </w:rPr>
              <w:t xml:space="preserve">, </w:t>
            </w:r>
            <w:r>
              <w:rPr>
                <w:rFonts w:eastAsia="Calibri"/>
                <w:b/>
                <w:color w:val="0070C0"/>
              </w:rPr>
              <w:t>31</w:t>
            </w:r>
            <w:r w:rsidRPr="003851C8">
              <w:rPr>
                <w:rFonts w:eastAsia="Calibri"/>
                <w:b/>
                <w:color w:val="0070C0"/>
                <w:vertAlign w:val="superscript"/>
              </w:rPr>
              <w:t>st</w:t>
            </w:r>
            <w:r>
              <w:rPr>
                <w:rFonts w:eastAsia="Calibri"/>
                <w:b/>
                <w:color w:val="0070C0"/>
              </w:rPr>
              <w:t xml:space="preserve"> </w:t>
            </w:r>
            <w:r w:rsidR="00D97014">
              <w:rPr>
                <w:rFonts w:eastAsia="Calibri"/>
                <w:b/>
                <w:color w:val="0070C0"/>
              </w:rPr>
              <w:t xml:space="preserve"> </w:t>
            </w:r>
            <w:r w:rsidR="00B72382" w:rsidRPr="005623DC">
              <w:rPr>
                <w:rFonts w:eastAsia="Calibri"/>
                <w:b/>
                <w:color w:val="0070C0"/>
              </w:rPr>
              <w:t>March 2021</w:t>
            </w:r>
          </w:p>
        </w:tc>
      </w:tr>
      <w:tr w:rsidR="00D87C87" w:rsidRPr="005623DC" w14:paraId="0F09513F" w14:textId="77777777" w:rsidTr="00016733">
        <w:trPr>
          <w:trHeight w:val="252"/>
        </w:trPr>
        <w:tc>
          <w:tcPr>
            <w:tcW w:w="3256" w:type="dxa"/>
          </w:tcPr>
          <w:p w14:paraId="4BE6A616" w14:textId="77777777" w:rsidR="00D87C87" w:rsidRPr="005623DC" w:rsidRDefault="00D87C87" w:rsidP="00016733">
            <w:pPr>
              <w:rPr>
                <w:rFonts w:eastAsia="Calibri"/>
                <w:b/>
                <w:color w:val="0070C0"/>
              </w:rPr>
            </w:pPr>
            <w:r w:rsidRPr="005623DC">
              <w:rPr>
                <w:rFonts w:eastAsia="Calibri"/>
                <w:b/>
                <w:color w:val="0070C0"/>
              </w:rPr>
              <w:t>Closing date:</w:t>
            </w:r>
          </w:p>
        </w:tc>
        <w:tc>
          <w:tcPr>
            <w:tcW w:w="5811" w:type="dxa"/>
          </w:tcPr>
          <w:p w14:paraId="6A7E6C30" w14:textId="4C6F0B30" w:rsidR="00D87C87" w:rsidRPr="005623DC" w:rsidRDefault="00D97014" w:rsidP="003851C8">
            <w:pPr>
              <w:rPr>
                <w:rFonts w:eastAsia="Calibri"/>
                <w:b/>
                <w:color w:val="0070C0"/>
              </w:rPr>
            </w:pPr>
            <w:r>
              <w:rPr>
                <w:rFonts w:eastAsia="Calibri"/>
                <w:b/>
                <w:color w:val="0070C0"/>
              </w:rPr>
              <w:t xml:space="preserve">Tuesday, </w:t>
            </w:r>
            <w:r w:rsidR="003851C8">
              <w:rPr>
                <w:rFonts w:eastAsia="Calibri"/>
                <w:b/>
                <w:color w:val="0070C0"/>
              </w:rPr>
              <w:t>20</w:t>
            </w:r>
            <w:r w:rsidR="003851C8" w:rsidRPr="003851C8">
              <w:rPr>
                <w:rFonts w:eastAsia="Calibri"/>
                <w:b/>
                <w:color w:val="0070C0"/>
                <w:vertAlign w:val="superscript"/>
              </w:rPr>
              <w:t>th</w:t>
            </w:r>
            <w:r w:rsidR="003851C8">
              <w:rPr>
                <w:rFonts w:eastAsia="Calibri"/>
                <w:b/>
                <w:color w:val="0070C0"/>
              </w:rPr>
              <w:t xml:space="preserve"> April 2021</w:t>
            </w:r>
            <w:r w:rsidR="00BA0D2C" w:rsidRPr="005623DC">
              <w:rPr>
                <w:rFonts w:eastAsia="Calibri"/>
                <w:b/>
                <w:color w:val="0070C0"/>
              </w:rPr>
              <w:t xml:space="preserve"> at 17.00 p.m.</w:t>
            </w:r>
          </w:p>
        </w:tc>
      </w:tr>
    </w:tbl>
    <w:p w14:paraId="35B15AA1" w14:textId="77777777" w:rsidR="00D87C87" w:rsidRPr="005623DC" w:rsidRDefault="00D87C87" w:rsidP="006B2936">
      <w:pPr>
        <w:pStyle w:val="Body"/>
        <w:spacing w:after="0" w:line="240" w:lineRule="auto"/>
        <w:rPr>
          <w:rFonts w:ascii="Times New Roman" w:hAnsi="Times New Roman" w:cs="Times New Roman"/>
          <w:b/>
          <w:bCs/>
          <w:color w:val="244061"/>
          <w:sz w:val="24"/>
          <w:szCs w:val="24"/>
          <w:u w:color="244061"/>
        </w:rPr>
      </w:pPr>
    </w:p>
    <w:p w14:paraId="59CD2EE0" w14:textId="77777777" w:rsidR="00743231" w:rsidRPr="005623DC" w:rsidRDefault="006A4AF8" w:rsidP="006B2936">
      <w:pPr>
        <w:pStyle w:val="Body"/>
        <w:spacing w:after="0" w:line="240" w:lineRule="auto"/>
        <w:rPr>
          <w:rFonts w:ascii="Times New Roman" w:hAnsi="Times New Roman" w:cs="Times New Roman"/>
          <w:b/>
          <w:bCs/>
          <w:color w:val="244061"/>
          <w:sz w:val="24"/>
          <w:szCs w:val="24"/>
          <w:u w:color="244061"/>
        </w:rPr>
      </w:pPr>
      <w:r w:rsidRPr="005623DC">
        <w:rPr>
          <w:rFonts w:ascii="Times New Roman" w:hAnsi="Times New Roman" w:cs="Times New Roman"/>
          <w:b/>
          <w:bCs/>
          <w:color w:val="244061"/>
          <w:sz w:val="24"/>
          <w:szCs w:val="24"/>
          <w:u w:color="244061"/>
        </w:rPr>
        <w:t>The Position:</w:t>
      </w:r>
    </w:p>
    <w:p w14:paraId="6C0BD183" w14:textId="77777777" w:rsidR="00847988" w:rsidRPr="005623DC" w:rsidRDefault="00847988" w:rsidP="006B2936">
      <w:pPr>
        <w:pStyle w:val="Body"/>
        <w:spacing w:after="0" w:line="240" w:lineRule="auto"/>
        <w:rPr>
          <w:rFonts w:ascii="Times New Roman" w:hAnsi="Times New Roman" w:cs="Times New Roman"/>
          <w:sz w:val="24"/>
          <w:szCs w:val="24"/>
        </w:rPr>
      </w:pPr>
    </w:p>
    <w:p w14:paraId="18D66446" w14:textId="3373A344" w:rsidR="00767397" w:rsidRPr="005623DC" w:rsidRDefault="001B20D7" w:rsidP="00B42B58">
      <w:pPr>
        <w:pStyle w:val="Body"/>
        <w:spacing w:after="0" w:line="240" w:lineRule="auto"/>
        <w:jc w:val="both"/>
        <w:rPr>
          <w:rFonts w:ascii="Times New Roman" w:hAnsi="Times New Roman" w:cs="Times New Roman"/>
          <w:sz w:val="24"/>
          <w:szCs w:val="24"/>
        </w:rPr>
      </w:pPr>
      <w:r w:rsidRPr="005623DC">
        <w:rPr>
          <w:rFonts w:ascii="Times New Roman" w:hAnsi="Times New Roman" w:cs="Times New Roman"/>
          <w:sz w:val="24"/>
          <w:szCs w:val="24"/>
        </w:rPr>
        <w:t>The Programme Analyst analy</w:t>
      </w:r>
      <w:r w:rsidR="00847988" w:rsidRPr="005623DC">
        <w:rPr>
          <w:rFonts w:ascii="Times New Roman" w:hAnsi="Times New Roman" w:cs="Times New Roman"/>
          <w:sz w:val="24"/>
          <w:szCs w:val="24"/>
        </w:rPr>
        <w:t>s</w:t>
      </w:r>
      <w:r w:rsidRPr="005623DC">
        <w:rPr>
          <w:rFonts w:ascii="Times New Roman" w:hAnsi="Times New Roman" w:cs="Times New Roman"/>
          <w:sz w:val="24"/>
          <w:szCs w:val="24"/>
        </w:rPr>
        <w:t>es and assess</w:t>
      </w:r>
      <w:r w:rsidR="00847988" w:rsidRPr="005623DC">
        <w:rPr>
          <w:rFonts w:ascii="Times New Roman" w:hAnsi="Times New Roman" w:cs="Times New Roman"/>
          <w:sz w:val="24"/>
          <w:szCs w:val="24"/>
        </w:rPr>
        <w:t>es</w:t>
      </w:r>
      <w:r w:rsidRPr="005623DC">
        <w:rPr>
          <w:rFonts w:ascii="Times New Roman" w:hAnsi="Times New Roman" w:cs="Times New Roman"/>
          <w:sz w:val="24"/>
          <w:szCs w:val="24"/>
        </w:rPr>
        <w:t xml:space="preserve"> relevant political, social and economic trends, guiding and facilitating the </w:t>
      </w:r>
      <w:r w:rsidR="00F43DFA" w:rsidRPr="005623DC">
        <w:rPr>
          <w:rFonts w:ascii="Times New Roman" w:hAnsi="Times New Roman" w:cs="Times New Roman"/>
          <w:sz w:val="24"/>
          <w:szCs w:val="24"/>
        </w:rPr>
        <w:t xml:space="preserve">delivery of UNFPA’s programme and </w:t>
      </w:r>
      <w:r w:rsidR="00767397" w:rsidRPr="005623DC">
        <w:rPr>
          <w:rFonts w:ascii="Times New Roman" w:hAnsi="Times New Roman" w:cs="Times New Roman"/>
          <w:sz w:val="24"/>
          <w:szCs w:val="24"/>
        </w:rPr>
        <w:t>will report to the UNFPA Representative.</w:t>
      </w:r>
    </w:p>
    <w:p w14:paraId="4C6D6BA6" w14:textId="1CC7ABE1" w:rsidR="009C13D1" w:rsidRPr="005623DC" w:rsidRDefault="009C13D1" w:rsidP="00B42B58">
      <w:pPr>
        <w:pStyle w:val="Body"/>
        <w:spacing w:after="0" w:line="240" w:lineRule="auto"/>
        <w:jc w:val="both"/>
        <w:rPr>
          <w:rFonts w:ascii="Times New Roman" w:hAnsi="Times New Roman" w:cs="Times New Roman"/>
          <w:sz w:val="24"/>
          <w:szCs w:val="24"/>
        </w:rPr>
      </w:pPr>
    </w:p>
    <w:p w14:paraId="76FA8496" w14:textId="42C88741" w:rsidR="009C13D1" w:rsidRPr="005623DC" w:rsidRDefault="009C13D1" w:rsidP="009C13D1">
      <w:pPr>
        <w:jc w:val="both"/>
      </w:pPr>
      <w:r w:rsidRPr="005623DC">
        <w:rPr>
          <w:noProof/>
        </w:rPr>
        <mc:AlternateContent>
          <mc:Choice Requires="wps">
            <w:drawing>
              <wp:anchor distT="0" distB="0" distL="114300" distR="114300" simplePos="0" relativeHeight="251659264" behindDoc="0" locked="0" layoutInCell="1" allowOverlap="1" wp14:anchorId="21F9A7A0" wp14:editId="3E5691DE">
                <wp:simplePos x="0" y="0"/>
                <wp:positionH relativeFrom="column">
                  <wp:posOffset>36575</wp:posOffset>
                </wp:positionH>
                <wp:positionV relativeFrom="paragraph">
                  <wp:posOffset>79273</wp:posOffset>
                </wp:positionV>
                <wp:extent cx="5640019" cy="0"/>
                <wp:effectExtent l="0" t="19050" r="37465" b="19050"/>
                <wp:wrapNone/>
                <wp:docPr id="1" name="Straight Connector 1"/>
                <wp:cNvGraphicFramePr/>
                <a:graphic xmlns:a="http://schemas.openxmlformats.org/drawingml/2006/main">
                  <a:graphicData uri="http://schemas.microsoft.com/office/word/2010/wordprocessingShape">
                    <wps:wsp>
                      <wps:cNvCnPr/>
                      <wps:spPr>
                        <a:xfrm>
                          <a:off x="0" y="0"/>
                          <a:ext cx="5640019"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45A66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pt,6.25pt" to="44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" strokecolor="black [3040]" strokeweight="2.25pt"/>
            </w:pict>
          </mc:Fallback>
        </mc:AlternateContent>
      </w:r>
    </w:p>
    <w:p w14:paraId="03BD7405" w14:textId="77777777" w:rsidR="009C13D1" w:rsidRPr="005623DC" w:rsidRDefault="009C13D1" w:rsidP="009C13D1">
      <w:pPr>
        <w:jc w:val="both"/>
        <w:rPr>
          <w:rFonts w:eastAsia="Calibri"/>
          <w:i/>
          <w:color w:val="000000"/>
        </w:rPr>
      </w:pPr>
      <w:r w:rsidRPr="005623DC">
        <w:rPr>
          <w:rFonts w:eastAsia="Calibri"/>
          <w:i/>
          <w:color w:val="000000"/>
        </w:rPr>
        <w:t>[</w:t>
      </w:r>
      <w:proofErr w:type="spellStart"/>
      <w:r w:rsidRPr="005623DC">
        <w:rPr>
          <w:rFonts w:eastAsia="Calibri"/>
          <w:i/>
          <w:color w:val="000000"/>
        </w:rPr>
        <w:t>i</w:t>
      </w:r>
      <w:proofErr w:type="spellEnd"/>
      <w:r w:rsidRPr="005623DC">
        <w:rPr>
          <w:rFonts w:eastAsia="Calibri"/>
          <w:i/>
          <w:color w:val="000000"/>
        </w:rPr>
        <w:t>] No expectancy of renewal in accordance with UN Staff Regulation 4.5</w:t>
      </w:r>
    </w:p>
    <w:p w14:paraId="16188B4E" w14:textId="77777777" w:rsidR="009C13D1" w:rsidRPr="005623DC" w:rsidRDefault="009C13D1" w:rsidP="009C13D1">
      <w:pPr>
        <w:jc w:val="both"/>
        <w:rPr>
          <w:rFonts w:eastAsia="Calibri"/>
          <w:color w:val="000000"/>
        </w:rPr>
      </w:pPr>
    </w:p>
    <w:p w14:paraId="3D07C259" w14:textId="77777777" w:rsidR="00743231" w:rsidRPr="005623DC" w:rsidRDefault="006A4AF8" w:rsidP="006B2936">
      <w:pPr>
        <w:pStyle w:val="Body"/>
        <w:spacing w:after="0" w:line="240" w:lineRule="auto"/>
        <w:rPr>
          <w:rFonts w:ascii="Times New Roman" w:hAnsi="Times New Roman" w:cs="Times New Roman"/>
          <w:b/>
          <w:bCs/>
          <w:color w:val="244061"/>
          <w:sz w:val="24"/>
          <w:szCs w:val="24"/>
          <w:u w:color="244061"/>
        </w:rPr>
      </w:pPr>
      <w:r w:rsidRPr="005623DC">
        <w:rPr>
          <w:rFonts w:ascii="Times New Roman" w:hAnsi="Times New Roman" w:cs="Times New Roman"/>
          <w:b/>
          <w:bCs/>
          <w:color w:val="244061"/>
          <w:sz w:val="24"/>
          <w:szCs w:val="24"/>
          <w:u w:color="244061"/>
        </w:rPr>
        <w:t>How you can make a difference:</w:t>
      </w:r>
    </w:p>
    <w:p w14:paraId="1C7176E4" w14:textId="77777777" w:rsidR="00847988" w:rsidRPr="005623DC" w:rsidRDefault="00847988" w:rsidP="006B2936">
      <w:pPr>
        <w:pStyle w:val="Body"/>
        <w:spacing w:after="0" w:line="240" w:lineRule="auto"/>
        <w:rPr>
          <w:rFonts w:ascii="Times New Roman" w:hAnsi="Times New Roman" w:cs="Times New Roman"/>
          <w:sz w:val="24"/>
          <w:szCs w:val="24"/>
        </w:rPr>
      </w:pPr>
    </w:p>
    <w:p w14:paraId="3AEE2150" w14:textId="256FBA09" w:rsidR="00743231" w:rsidRPr="005623DC" w:rsidRDefault="006A4AF8" w:rsidP="00B42B58">
      <w:pPr>
        <w:pStyle w:val="Body"/>
        <w:spacing w:after="0" w:line="240" w:lineRule="auto"/>
        <w:jc w:val="both"/>
        <w:rPr>
          <w:rFonts w:ascii="Times New Roman" w:hAnsi="Times New Roman" w:cs="Times New Roman"/>
          <w:sz w:val="24"/>
          <w:szCs w:val="24"/>
        </w:rPr>
      </w:pPr>
      <w:r w:rsidRPr="005623DC">
        <w:rPr>
          <w:rFonts w:ascii="Times New Roman" w:hAnsi="Times New Roman" w:cs="Times New Roman"/>
          <w:sz w:val="24"/>
          <w:szCs w:val="24"/>
        </w:rPr>
        <w:t xml:space="preserve">UNFPA is the lead UN agency for delivering a world where every pregnancy is wanted, every childbirth is safe and every young person's potential is fulfilled. </w:t>
      </w:r>
      <w:r w:rsidR="005E0232" w:rsidRPr="005623DC">
        <w:rPr>
          <w:rFonts w:ascii="Times New Roman" w:hAnsi="Times New Roman" w:cs="Times New Roman"/>
          <w:sz w:val="24"/>
          <w:szCs w:val="24"/>
        </w:rPr>
        <w:t xml:space="preserve"> </w:t>
      </w:r>
      <w:r w:rsidRPr="005623DC">
        <w:rPr>
          <w:rFonts w:ascii="Times New Roman" w:hAnsi="Times New Roman" w:cs="Times New Roman"/>
          <w:sz w:val="24"/>
          <w:szCs w:val="24"/>
        </w:rPr>
        <w:t xml:space="preserve">UNFPA’s new strategic plan (2018-2021), focuses on three transformative results: to end preventable maternal deaths; end unmet need for family planning; and end gender-based violence and harmful practices. </w:t>
      </w:r>
    </w:p>
    <w:p w14:paraId="0539398D" w14:textId="5B53F7CA" w:rsidR="005E0232" w:rsidRPr="005623DC" w:rsidRDefault="005E0232" w:rsidP="00B42B58">
      <w:pPr>
        <w:pStyle w:val="Body"/>
        <w:spacing w:after="0" w:line="240" w:lineRule="auto"/>
        <w:jc w:val="both"/>
        <w:rPr>
          <w:rFonts w:ascii="Times New Roman" w:hAnsi="Times New Roman" w:cs="Times New Roman"/>
          <w:sz w:val="24"/>
          <w:szCs w:val="24"/>
        </w:rPr>
      </w:pPr>
      <w:r w:rsidRPr="005623DC">
        <w:rPr>
          <w:rFonts w:ascii="Times New Roman" w:hAnsi="Times New Roman" w:cs="Times New Roman"/>
          <w:sz w:val="24"/>
          <w:szCs w:val="24"/>
        </w:rPr>
        <w:t>In a world where fundamental human rights are at risk, we need principled and ethical staff, who embody these international norms and standards, and who will defend them courageously and with full conviction.</w:t>
      </w:r>
    </w:p>
    <w:p w14:paraId="3F55D534" w14:textId="77777777" w:rsidR="00D42FEB" w:rsidRPr="005623DC" w:rsidRDefault="00D42FEB" w:rsidP="00B42B58">
      <w:pPr>
        <w:pStyle w:val="Body"/>
        <w:spacing w:after="0" w:line="240" w:lineRule="auto"/>
        <w:jc w:val="both"/>
        <w:rPr>
          <w:rFonts w:ascii="Times New Roman" w:hAnsi="Times New Roman" w:cs="Times New Roman"/>
          <w:sz w:val="24"/>
          <w:szCs w:val="24"/>
        </w:rPr>
      </w:pPr>
    </w:p>
    <w:p w14:paraId="030E11ED" w14:textId="3A274CC7" w:rsidR="00743231" w:rsidRPr="005623DC" w:rsidRDefault="006A4AF8" w:rsidP="00B42B58">
      <w:pPr>
        <w:pStyle w:val="Body"/>
        <w:spacing w:after="0" w:line="240" w:lineRule="auto"/>
        <w:jc w:val="both"/>
        <w:rPr>
          <w:rFonts w:ascii="Times New Roman" w:hAnsi="Times New Roman" w:cs="Times New Roman"/>
          <w:b/>
          <w:bCs/>
          <w:color w:val="244061"/>
          <w:sz w:val="24"/>
          <w:szCs w:val="24"/>
          <w:u w:color="244061"/>
        </w:rPr>
      </w:pPr>
      <w:r w:rsidRPr="005623DC">
        <w:rPr>
          <w:rFonts w:ascii="Times New Roman" w:hAnsi="Times New Roman" w:cs="Times New Roman"/>
          <w:sz w:val="24"/>
          <w:szCs w:val="24"/>
        </w:rPr>
        <w:t xml:space="preserve">UNFPA is seeking candidates that transform, inspire and deliver high impact and sustained results; </w:t>
      </w:r>
      <w:r w:rsidR="00E52A9F" w:rsidRPr="005623DC">
        <w:rPr>
          <w:rFonts w:ascii="Times New Roman" w:hAnsi="Times New Roman" w:cs="Times New Roman"/>
          <w:sz w:val="24"/>
          <w:szCs w:val="24"/>
        </w:rPr>
        <w:t>w</w:t>
      </w:r>
      <w:r w:rsidRPr="005623DC">
        <w:rPr>
          <w:rFonts w:ascii="Times New Roman" w:hAnsi="Times New Roman" w:cs="Times New Roman"/>
          <w:sz w:val="24"/>
          <w:szCs w:val="24"/>
        </w:rPr>
        <w:t>e need staff who are transparent, exceptional in how they manage the resources entrusted to them and who commit to deliver excellence in programme results.</w:t>
      </w:r>
    </w:p>
    <w:p w14:paraId="33D9B21B" w14:textId="77777777" w:rsidR="004072BB" w:rsidRPr="005623DC" w:rsidRDefault="004072BB" w:rsidP="00B42B58">
      <w:pPr>
        <w:jc w:val="both"/>
      </w:pPr>
    </w:p>
    <w:p w14:paraId="2F375DAE" w14:textId="584A422E" w:rsidR="00743231" w:rsidRPr="005623DC" w:rsidRDefault="006A4AF8" w:rsidP="00B42B58">
      <w:pPr>
        <w:pStyle w:val="Body"/>
        <w:spacing w:after="0" w:line="240" w:lineRule="auto"/>
        <w:jc w:val="both"/>
        <w:rPr>
          <w:rFonts w:ascii="Times New Roman" w:hAnsi="Times New Roman" w:cs="Times New Roman"/>
          <w:sz w:val="24"/>
          <w:szCs w:val="24"/>
        </w:rPr>
      </w:pPr>
      <w:r w:rsidRPr="005623DC">
        <w:rPr>
          <w:rFonts w:ascii="Times New Roman" w:hAnsi="Times New Roman" w:cs="Times New Roman"/>
          <w:b/>
          <w:bCs/>
          <w:color w:val="244061"/>
          <w:sz w:val="24"/>
          <w:szCs w:val="24"/>
          <w:u w:color="244061"/>
        </w:rPr>
        <w:t>Job Purpose:</w:t>
      </w:r>
    </w:p>
    <w:p w14:paraId="47EADCAC" w14:textId="77777777" w:rsidR="00847988" w:rsidRPr="005623DC" w:rsidRDefault="00847988" w:rsidP="00B42B58">
      <w:pPr>
        <w:pStyle w:val="Body"/>
        <w:spacing w:after="0" w:line="240" w:lineRule="auto"/>
        <w:jc w:val="both"/>
        <w:rPr>
          <w:rFonts w:ascii="Times New Roman" w:hAnsi="Times New Roman" w:cs="Times New Roman"/>
          <w:sz w:val="24"/>
          <w:szCs w:val="24"/>
        </w:rPr>
      </w:pPr>
    </w:p>
    <w:p w14:paraId="7399D607" w14:textId="115E2C0C" w:rsidR="0045155D" w:rsidRPr="005623DC" w:rsidRDefault="0045155D" w:rsidP="00B42B58">
      <w:pPr>
        <w:pStyle w:val="Body"/>
        <w:spacing w:after="0" w:line="240" w:lineRule="auto"/>
        <w:jc w:val="both"/>
        <w:rPr>
          <w:rFonts w:ascii="Times New Roman" w:hAnsi="Times New Roman" w:cs="Times New Roman"/>
          <w:sz w:val="24"/>
          <w:szCs w:val="24"/>
        </w:rPr>
      </w:pPr>
      <w:r w:rsidRPr="005623DC">
        <w:rPr>
          <w:rFonts w:ascii="Times New Roman" w:hAnsi="Times New Roman" w:cs="Times New Roman"/>
          <w:sz w:val="24"/>
          <w:szCs w:val="24"/>
        </w:rPr>
        <w:t xml:space="preserve">Working within a large and complex Country Office (CO) environment, you will support the effective management of UNFPA activities in the areas of population and development, reproductive health and gender. Through </w:t>
      </w:r>
      <w:r w:rsidR="00B57833" w:rsidRPr="005623DC">
        <w:rPr>
          <w:rFonts w:ascii="Times New Roman" w:hAnsi="Times New Roman" w:cs="Times New Roman"/>
          <w:sz w:val="24"/>
          <w:szCs w:val="24"/>
        </w:rPr>
        <w:t xml:space="preserve">substantive </w:t>
      </w:r>
      <w:r w:rsidRPr="005623DC">
        <w:rPr>
          <w:rFonts w:ascii="Times New Roman" w:hAnsi="Times New Roman" w:cs="Times New Roman"/>
          <w:sz w:val="24"/>
          <w:szCs w:val="24"/>
        </w:rPr>
        <w:t>analysis and assessment of political, social and economic trends, you will contribute to project formulation and evaluation, joint programming initiatives and national development frameworks.</w:t>
      </w:r>
    </w:p>
    <w:p w14:paraId="1C771832" w14:textId="2533B9F8" w:rsidR="00743231" w:rsidRPr="005623DC" w:rsidRDefault="00743231" w:rsidP="00B42B58">
      <w:pPr>
        <w:pStyle w:val="Body"/>
        <w:spacing w:after="0" w:line="240" w:lineRule="auto"/>
        <w:jc w:val="both"/>
        <w:rPr>
          <w:rFonts w:ascii="Times New Roman" w:hAnsi="Times New Roman" w:cs="Times New Roman"/>
          <w:sz w:val="24"/>
          <w:szCs w:val="24"/>
        </w:rPr>
      </w:pPr>
    </w:p>
    <w:p w14:paraId="1F106289" w14:textId="0CF33D6A" w:rsidR="00B25D4D" w:rsidRPr="005623DC" w:rsidRDefault="00B25D4D" w:rsidP="00B42B58">
      <w:pPr>
        <w:pStyle w:val="Body"/>
        <w:spacing w:after="0" w:line="240" w:lineRule="auto"/>
        <w:jc w:val="both"/>
        <w:rPr>
          <w:rFonts w:ascii="Times New Roman" w:hAnsi="Times New Roman" w:cs="Times New Roman"/>
          <w:sz w:val="24"/>
          <w:szCs w:val="24"/>
        </w:rPr>
      </w:pPr>
      <w:r w:rsidRPr="005623DC">
        <w:rPr>
          <w:rFonts w:ascii="Times New Roman" w:hAnsi="Times New Roman" w:cs="Times New Roman"/>
          <w:sz w:val="24"/>
          <w:szCs w:val="24"/>
        </w:rPr>
        <w:t xml:space="preserve">You will monitor results achieved during implementation, guiding the appropriate application of systems and procedures, </w:t>
      </w:r>
      <w:r w:rsidR="00161549" w:rsidRPr="005623DC">
        <w:rPr>
          <w:rFonts w:ascii="Times New Roman" w:hAnsi="Times New Roman" w:cs="Times New Roman"/>
          <w:sz w:val="24"/>
          <w:szCs w:val="24"/>
        </w:rPr>
        <w:t xml:space="preserve">and </w:t>
      </w:r>
      <w:r w:rsidRPr="005623DC">
        <w:rPr>
          <w:rFonts w:ascii="Times New Roman" w:hAnsi="Times New Roman" w:cs="Times New Roman"/>
          <w:sz w:val="24"/>
          <w:szCs w:val="24"/>
        </w:rPr>
        <w:t>developing enhancements as required.</w:t>
      </w:r>
    </w:p>
    <w:p w14:paraId="6AD2F21C" w14:textId="5EC2F5C6" w:rsidR="00B25D4D" w:rsidRPr="005623DC" w:rsidRDefault="00B25D4D" w:rsidP="00B42B58">
      <w:pPr>
        <w:pStyle w:val="Body"/>
        <w:spacing w:after="0" w:line="240" w:lineRule="auto"/>
        <w:jc w:val="both"/>
        <w:rPr>
          <w:rFonts w:ascii="Times New Roman" w:hAnsi="Times New Roman" w:cs="Times New Roman"/>
          <w:sz w:val="24"/>
          <w:szCs w:val="24"/>
        </w:rPr>
      </w:pPr>
    </w:p>
    <w:p w14:paraId="785B8531" w14:textId="6A11A7F4" w:rsidR="00BA0D2C" w:rsidRPr="005623DC" w:rsidRDefault="00BA0D2C" w:rsidP="00B42B58">
      <w:pPr>
        <w:pStyle w:val="Body"/>
        <w:spacing w:after="0" w:line="240" w:lineRule="auto"/>
        <w:jc w:val="both"/>
        <w:rPr>
          <w:rFonts w:ascii="Times New Roman" w:hAnsi="Times New Roman" w:cs="Times New Roman"/>
          <w:sz w:val="24"/>
          <w:szCs w:val="24"/>
        </w:rPr>
      </w:pPr>
    </w:p>
    <w:p w14:paraId="42651EEC" w14:textId="3C601110" w:rsidR="00BA0D2C" w:rsidRPr="005623DC" w:rsidRDefault="00BA0D2C" w:rsidP="00B42B58">
      <w:pPr>
        <w:pStyle w:val="Body"/>
        <w:spacing w:after="0" w:line="240" w:lineRule="auto"/>
        <w:jc w:val="both"/>
        <w:rPr>
          <w:rFonts w:ascii="Times New Roman" w:hAnsi="Times New Roman" w:cs="Times New Roman"/>
          <w:sz w:val="24"/>
          <w:szCs w:val="24"/>
        </w:rPr>
      </w:pPr>
    </w:p>
    <w:p w14:paraId="4C7B57AC" w14:textId="32DF388D" w:rsidR="00BA0D2C" w:rsidRPr="005623DC" w:rsidRDefault="00BA0D2C" w:rsidP="00B42B58">
      <w:pPr>
        <w:pStyle w:val="Body"/>
        <w:spacing w:after="0" w:line="240" w:lineRule="auto"/>
        <w:jc w:val="both"/>
        <w:rPr>
          <w:rFonts w:ascii="Times New Roman" w:hAnsi="Times New Roman" w:cs="Times New Roman"/>
          <w:sz w:val="24"/>
          <w:szCs w:val="24"/>
        </w:rPr>
      </w:pPr>
    </w:p>
    <w:p w14:paraId="3889559C" w14:textId="77777777" w:rsidR="00BA0D2C" w:rsidRPr="005623DC" w:rsidRDefault="00BA0D2C" w:rsidP="00B42B58">
      <w:pPr>
        <w:pStyle w:val="Body"/>
        <w:spacing w:after="0" w:line="240" w:lineRule="auto"/>
        <w:jc w:val="both"/>
        <w:rPr>
          <w:rFonts w:ascii="Times New Roman" w:hAnsi="Times New Roman" w:cs="Times New Roman"/>
          <w:sz w:val="24"/>
          <w:szCs w:val="24"/>
        </w:rPr>
      </w:pPr>
    </w:p>
    <w:p w14:paraId="1C07570A" w14:textId="5451F61D" w:rsidR="00D87C87" w:rsidRPr="005623DC" w:rsidRDefault="00D87C87" w:rsidP="006B293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color w:val="244061"/>
          <w:bdr w:val="none" w:sz="0" w:space="0" w:color="auto"/>
          <w:lang w:eastAsia="en-GB"/>
        </w:rPr>
      </w:pPr>
    </w:p>
    <w:p w14:paraId="1FE809DC" w14:textId="60A2D96C" w:rsidR="00743231" w:rsidRPr="005623DC" w:rsidRDefault="006A4AF8" w:rsidP="006B293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color w:val="244061"/>
          <w:bdr w:val="none" w:sz="0" w:space="0" w:color="auto"/>
          <w:lang w:eastAsia="en-GB"/>
        </w:rPr>
      </w:pPr>
      <w:r w:rsidRPr="005623DC">
        <w:rPr>
          <w:rFonts w:eastAsia="Calibri"/>
          <w:b/>
          <w:color w:val="244061"/>
          <w:bdr w:val="none" w:sz="0" w:space="0" w:color="auto"/>
          <w:lang w:eastAsia="en-GB"/>
        </w:rPr>
        <w:t xml:space="preserve">You would be responsible for: </w:t>
      </w:r>
    </w:p>
    <w:p w14:paraId="18209624" w14:textId="77777777" w:rsidR="00847988" w:rsidRPr="005623DC" w:rsidRDefault="00847988" w:rsidP="006B293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color w:val="244061"/>
          <w:bdr w:val="none" w:sz="0" w:space="0" w:color="auto"/>
          <w:lang w:eastAsia="en-GB"/>
        </w:rPr>
      </w:pPr>
    </w:p>
    <w:p w14:paraId="405AF419" w14:textId="77777777" w:rsidR="00045C81" w:rsidRPr="005623DC" w:rsidRDefault="00045C81" w:rsidP="00D87C87">
      <w:pPr>
        <w:pStyle w:val="Body"/>
        <w:numPr>
          <w:ilvl w:val="0"/>
          <w:numId w:val="24"/>
        </w:numPr>
        <w:spacing w:after="0" w:line="240" w:lineRule="auto"/>
        <w:contextualSpacing/>
        <w:jc w:val="both"/>
        <w:rPr>
          <w:rFonts w:ascii="Times New Roman" w:hAnsi="Times New Roman" w:cs="Times New Roman"/>
          <w:sz w:val="24"/>
          <w:szCs w:val="24"/>
        </w:rPr>
      </w:pPr>
      <w:r w:rsidRPr="005623DC">
        <w:rPr>
          <w:rFonts w:ascii="Times New Roman" w:hAnsi="Times New Roman" w:cs="Times New Roman"/>
          <w:sz w:val="24"/>
          <w:szCs w:val="24"/>
        </w:rPr>
        <w:t xml:space="preserve">In collaboration with Government counterparts, NGOs and other partners, contributing to the design and implementation of the country programme and its component projects, aligning with Government priorities and UNFPA programme policies and procedures. </w:t>
      </w:r>
    </w:p>
    <w:p w14:paraId="7C533ABF" w14:textId="77777777" w:rsidR="00045C81" w:rsidRPr="005623DC" w:rsidRDefault="00045C81" w:rsidP="00D87C87">
      <w:pPr>
        <w:pStyle w:val="Body"/>
        <w:spacing w:after="0" w:line="240" w:lineRule="auto"/>
        <w:contextualSpacing/>
        <w:jc w:val="both"/>
        <w:rPr>
          <w:rFonts w:ascii="Times New Roman" w:hAnsi="Times New Roman" w:cs="Times New Roman"/>
          <w:sz w:val="24"/>
          <w:szCs w:val="24"/>
        </w:rPr>
      </w:pPr>
    </w:p>
    <w:p w14:paraId="20019F29" w14:textId="77777777" w:rsidR="00045C81" w:rsidRPr="005623DC" w:rsidRDefault="00045C81" w:rsidP="00D87C87">
      <w:pPr>
        <w:pStyle w:val="Body"/>
        <w:numPr>
          <w:ilvl w:val="0"/>
          <w:numId w:val="24"/>
        </w:numPr>
        <w:spacing w:after="0" w:line="240" w:lineRule="auto"/>
        <w:contextualSpacing/>
        <w:jc w:val="both"/>
        <w:rPr>
          <w:rFonts w:ascii="Times New Roman" w:hAnsi="Times New Roman" w:cs="Times New Roman"/>
          <w:sz w:val="24"/>
          <w:szCs w:val="24"/>
        </w:rPr>
      </w:pPr>
      <w:r w:rsidRPr="005623DC">
        <w:rPr>
          <w:rFonts w:ascii="Times New Roman" w:hAnsi="Times New Roman" w:cs="Times New Roman"/>
          <w:sz w:val="24"/>
          <w:szCs w:val="24"/>
        </w:rPr>
        <w:t>Ensuring appropriate monitoring and oversight mechanisms and systems are established and implemented.</w:t>
      </w:r>
    </w:p>
    <w:p w14:paraId="79439F6A" w14:textId="77777777" w:rsidR="00045C81" w:rsidRPr="005623DC" w:rsidRDefault="00045C81" w:rsidP="00D87C87">
      <w:pPr>
        <w:pStyle w:val="Body"/>
        <w:spacing w:after="0" w:line="240" w:lineRule="auto"/>
        <w:contextualSpacing/>
        <w:jc w:val="both"/>
        <w:rPr>
          <w:rFonts w:ascii="Times New Roman" w:hAnsi="Times New Roman" w:cs="Times New Roman"/>
          <w:sz w:val="24"/>
          <w:szCs w:val="24"/>
        </w:rPr>
      </w:pPr>
    </w:p>
    <w:p w14:paraId="32479633" w14:textId="41AEDE7E" w:rsidR="00045C81" w:rsidRPr="005623DC" w:rsidRDefault="00045C81" w:rsidP="00D87C87">
      <w:pPr>
        <w:pStyle w:val="Body"/>
        <w:numPr>
          <w:ilvl w:val="0"/>
          <w:numId w:val="24"/>
        </w:numPr>
        <w:spacing w:after="0" w:line="240" w:lineRule="auto"/>
        <w:contextualSpacing/>
        <w:jc w:val="both"/>
        <w:rPr>
          <w:rFonts w:ascii="Times New Roman" w:hAnsi="Times New Roman" w:cs="Times New Roman"/>
          <w:sz w:val="24"/>
          <w:szCs w:val="24"/>
        </w:rPr>
      </w:pPr>
      <w:r w:rsidRPr="005623DC">
        <w:rPr>
          <w:rFonts w:ascii="Times New Roman" w:hAnsi="Times New Roman" w:cs="Times New Roman"/>
          <w:sz w:val="24"/>
          <w:szCs w:val="24"/>
        </w:rPr>
        <w:t>Analy</w:t>
      </w:r>
      <w:r w:rsidR="00847988" w:rsidRPr="005623DC">
        <w:rPr>
          <w:rFonts w:ascii="Times New Roman" w:hAnsi="Times New Roman" w:cs="Times New Roman"/>
          <w:sz w:val="24"/>
          <w:szCs w:val="24"/>
        </w:rPr>
        <w:t>s</w:t>
      </w:r>
      <w:r w:rsidRPr="005623DC">
        <w:rPr>
          <w:rFonts w:ascii="Times New Roman" w:hAnsi="Times New Roman" w:cs="Times New Roman"/>
          <w:sz w:val="24"/>
          <w:szCs w:val="24"/>
        </w:rPr>
        <w:t xml:space="preserve">ing and interpreting the political, social and economic environment relevant to UNFPA activities, and identifying opportunities for </w:t>
      </w:r>
      <w:r w:rsidR="006B2392" w:rsidRPr="005623DC">
        <w:rPr>
          <w:rFonts w:ascii="Times New Roman" w:hAnsi="Times New Roman" w:cs="Times New Roman"/>
          <w:sz w:val="24"/>
          <w:szCs w:val="24"/>
        </w:rPr>
        <w:t xml:space="preserve">UNFPA </w:t>
      </w:r>
      <w:r w:rsidRPr="005623DC">
        <w:rPr>
          <w:rFonts w:ascii="Times New Roman" w:hAnsi="Times New Roman" w:cs="Times New Roman"/>
          <w:sz w:val="24"/>
          <w:szCs w:val="24"/>
        </w:rPr>
        <w:t xml:space="preserve">assistance and intervention. </w:t>
      </w:r>
    </w:p>
    <w:p w14:paraId="7F5A038E" w14:textId="77777777" w:rsidR="00045C81" w:rsidRPr="005623DC" w:rsidRDefault="00045C81" w:rsidP="00D87C87">
      <w:pPr>
        <w:pStyle w:val="Body"/>
        <w:spacing w:after="0" w:line="240" w:lineRule="auto"/>
        <w:contextualSpacing/>
        <w:jc w:val="both"/>
        <w:rPr>
          <w:rFonts w:ascii="Times New Roman" w:hAnsi="Times New Roman" w:cs="Times New Roman"/>
          <w:sz w:val="24"/>
          <w:szCs w:val="24"/>
        </w:rPr>
      </w:pPr>
    </w:p>
    <w:p w14:paraId="3B476768" w14:textId="00F977DF" w:rsidR="00045C81" w:rsidRPr="005623DC" w:rsidRDefault="00045C81" w:rsidP="00D87C87">
      <w:pPr>
        <w:pStyle w:val="Body"/>
        <w:numPr>
          <w:ilvl w:val="0"/>
          <w:numId w:val="24"/>
        </w:numPr>
        <w:spacing w:after="0" w:line="240" w:lineRule="auto"/>
        <w:contextualSpacing/>
        <w:jc w:val="both"/>
        <w:rPr>
          <w:rFonts w:ascii="Times New Roman" w:hAnsi="Times New Roman" w:cs="Times New Roman"/>
          <w:sz w:val="24"/>
          <w:szCs w:val="24"/>
        </w:rPr>
      </w:pPr>
      <w:r w:rsidRPr="005623DC">
        <w:rPr>
          <w:rFonts w:ascii="Times New Roman" w:hAnsi="Times New Roman" w:cs="Times New Roman"/>
          <w:sz w:val="24"/>
          <w:szCs w:val="24"/>
        </w:rPr>
        <w:t>Analy</w:t>
      </w:r>
      <w:r w:rsidR="00847988" w:rsidRPr="005623DC">
        <w:rPr>
          <w:rFonts w:ascii="Times New Roman" w:hAnsi="Times New Roman" w:cs="Times New Roman"/>
          <w:sz w:val="24"/>
          <w:szCs w:val="24"/>
        </w:rPr>
        <w:t>s</w:t>
      </w:r>
      <w:r w:rsidRPr="005623DC">
        <w:rPr>
          <w:rFonts w:ascii="Times New Roman" w:hAnsi="Times New Roman" w:cs="Times New Roman"/>
          <w:sz w:val="24"/>
          <w:szCs w:val="24"/>
        </w:rPr>
        <w:t>ing policy papers, strategy documents and national development plans; preparing briefs and inputs for policy dialogue, technical assistance coordination, and development frameworks.</w:t>
      </w:r>
    </w:p>
    <w:p w14:paraId="3D56CE55" w14:textId="77777777" w:rsidR="00045C81" w:rsidRPr="005623DC" w:rsidRDefault="00045C81" w:rsidP="00D87C87">
      <w:pPr>
        <w:pStyle w:val="Body"/>
        <w:spacing w:after="0" w:line="240" w:lineRule="auto"/>
        <w:contextualSpacing/>
        <w:jc w:val="both"/>
        <w:rPr>
          <w:rFonts w:ascii="Times New Roman" w:hAnsi="Times New Roman" w:cs="Times New Roman"/>
          <w:sz w:val="24"/>
          <w:szCs w:val="24"/>
        </w:rPr>
      </w:pPr>
    </w:p>
    <w:p w14:paraId="46366CA5" w14:textId="77777777" w:rsidR="00045C81" w:rsidRPr="005623DC" w:rsidRDefault="00045C81" w:rsidP="00D87C87">
      <w:pPr>
        <w:pStyle w:val="Body"/>
        <w:numPr>
          <w:ilvl w:val="0"/>
          <w:numId w:val="24"/>
        </w:numPr>
        <w:spacing w:after="0" w:line="240" w:lineRule="auto"/>
        <w:contextualSpacing/>
        <w:jc w:val="both"/>
        <w:rPr>
          <w:rFonts w:ascii="Times New Roman" w:hAnsi="Times New Roman" w:cs="Times New Roman"/>
          <w:sz w:val="24"/>
          <w:szCs w:val="24"/>
        </w:rPr>
      </w:pPr>
      <w:r w:rsidRPr="005623DC">
        <w:rPr>
          <w:rFonts w:ascii="Times New Roman" w:hAnsi="Times New Roman" w:cs="Times New Roman"/>
          <w:sz w:val="24"/>
          <w:szCs w:val="24"/>
        </w:rPr>
        <w:t>Assessing implications of new policy developments and strategies on programme execution, and ensuring their integration.</w:t>
      </w:r>
    </w:p>
    <w:p w14:paraId="30F2C0A5" w14:textId="77777777" w:rsidR="00045C81" w:rsidRPr="005623DC" w:rsidRDefault="00045C81" w:rsidP="00D87C87">
      <w:pPr>
        <w:pStyle w:val="ListParagraph"/>
        <w:spacing w:after="0" w:line="240" w:lineRule="auto"/>
        <w:contextualSpacing/>
        <w:rPr>
          <w:rFonts w:ascii="Times New Roman" w:hAnsi="Times New Roman" w:cs="Times New Roman"/>
          <w:sz w:val="24"/>
          <w:szCs w:val="24"/>
        </w:rPr>
      </w:pPr>
    </w:p>
    <w:p w14:paraId="6BD55773" w14:textId="4622D8AE" w:rsidR="00045C81" w:rsidRPr="005623DC" w:rsidRDefault="00045C81" w:rsidP="00D87C87">
      <w:pPr>
        <w:pStyle w:val="Body"/>
        <w:numPr>
          <w:ilvl w:val="0"/>
          <w:numId w:val="24"/>
        </w:numPr>
        <w:spacing w:after="0" w:line="240" w:lineRule="auto"/>
        <w:contextualSpacing/>
        <w:jc w:val="both"/>
        <w:rPr>
          <w:rFonts w:ascii="Times New Roman" w:hAnsi="Times New Roman" w:cs="Times New Roman"/>
          <w:sz w:val="24"/>
          <w:szCs w:val="24"/>
        </w:rPr>
      </w:pPr>
      <w:r w:rsidRPr="005623DC">
        <w:rPr>
          <w:rFonts w:ascii="Times New Roman" w:hAnsi="Times New Roman" w:cs="Times New Roman"/>
          <w:sz w:val="24"/>
          <w:szCs w:val="24"/>
        </w:rPr>
        <w:t>Establishing collaborative relationships with executing agencies, experts, government counterparts and other UN agencies to facilitate timely and effic</w:t>
      </w:r>
      <w:r w:rsidR="0015209B" w:rsidRPr="005623DC">
        <w:rPr>
          <w:rFonts w:ascii="Times New Roman" w:hAnsi="Times New Roman" w:cs="Times New Roman"/>
          <w:sz w:val="24"/>
          <w:szCs w:val="24"/>
        </w:rPr>
        <w:t>ient delivery of project inputs</w:t>
      </w:r>
      <w:r w:rsidRPr="005623DC">
        <w:rPr>
          <w:rFonts w:ascii="Times New Roman" w:hAnsi="Times New Roman" w:cs="Times New Roman"/>
          <w:sz w:val="24"/>
          <w:szCs w:val="24"/>
        </w:rPr>
        <w:t>.</w:t>
      </w:r>
    </w:p>
    <w:p w14:paraId="7288CAFD" w14:textId="77777777" w:rsidR="00045C81" w:rsidRPr="005623DC" w:rsidRDefault="00045C81" w:rsidP="00D87C87">
      <w:pPr>
        <w:pStyle w:val="Body"/>
        <w:spacing w:after="0" w:line="240" w:lineRule="auto"/>
        <w:contextualSpacing/>
        <w:jc w:val="both"/>
        <w:rPr>
          <w:rFonts w:ascii="Times New Roman" w:hAnsi="Times New Roman" w:cs="Times New Roman"/>
          <w:sz w:val="24"/>
          <w:szCs w:val="24"/>
        </w:rPr>
      </w:pPr>
    </w:p>
    <w:p w14:paraId="04E041A0" w14:textId="67B95CF0" w:rsidR="00045C81" w:rsidRPr="005623DC" w:rsidRDefault="0015209B" w:rsidP="00D87C87">
      <w:pPr>
        <w:pStyle w:val="Body"/>
        <w:numPr>
          <w:ilvl w:val="0"/>
          <w:numId w:val="24"/>
        </w:numPr>
        <w:spacing w:after="0" w:line="240" w:lineRule="auto"/>
        <w:contextualSpacing/>
        <w:jc w:val="both"/>
        <w:rPr>
          <w:rFonts w:ascii="Times New Roman" w:hAnsi="Times New Roman" w:cs="Times New Roman"/>
          <w:sz w:val="24"/>
          <w:szCs w:val="24"/>
        </w:rPr>
      </w:pPr>
      <w:r w:rsidRPr="005623DC">
        <w:rPr>
          <w:rFonts w:ascii="Times New Roman" w:hAnsi="Times New Roman" w:cs="Times New Roman"/>
          <w:sz w:val="24"/>
          <w:szCs w:val="24"/>
        </w:rPr>
        <w:t>Assisting in implementing</w:t>
      </w:r>
      <w:r w:rsidR="00045C81" w:rsidRPr="005623DC">
        <w:rPr>
          <w:rFonts w:ascii="Times New Roman" w:hAnsi="Times New Roman" w:cs="Times New Roman"/>
          <w:sz w:val="24"/>
          <w:szCs w:val="24"/>
        </w:rPr>
        <w:t xml:space="preserve"> knowledge management strategies to capture lessons learned and best practices, sharing these with</w:t>
      </w:r>
      <w:r w:rsidRPr="005623DC">
        <w:rPr>
          <w:rFonts w:ascii="Times New Roman" w:hAnsi="Times New Roman" w:cs="Times New Roman"/>
          <w:sz w:val="24"/>
          <w:szCs w:val="24"/>
        </w:rPr>
        <w:t xml:space="preserve"> management for future planning supporting training needs of project personnel</w:t>
      </w:r>
    </w:p>
    <w:p w14:paraId="2A425864" w14:textId="77777777" w:rsidR="00045C81" w:rsidRPr="005623DC" w:rsidRDefault="00045C81" w:rsidP="00D87C87">
      <w:pPr>
        <w:pStyle w:val="ListParagraph"/>
        <w:spacing w:after="0" w:line="240" w:lineRule="auto"/>
        <w:contextualSpacing/>
        <w:rPr>
          <w:rFonts w:ascii="Times New Roman" w:hAnsi="Times New Roman" w:cs="Times New Roman"/>
          <w:sz w:val="24"/>
          <w:szCs w:val="24"/>
        </w:rPr>
      </w:pPr>
    </w:p>
    <w:p w14:paraId="4E45AFD2" w14:textId="446D87AC" w:rsidR="00045C81" w:rsidRPr="005623DC" w:rsidRDefault="00DF0A6C" w:rsidP="00D87C87">
      <w:pPr>
        <w:pStyle w:val="Body"/>
        <w:numPr>
          <w:ilvl w:val="0"/>
          <w:numId w:val="24"/>
        </w:numPr>
        <w:spacing w:after="0" w:line="240" w:lineRule="auto"/>
        <w:contextualSpacing/>
        <w:jc w:val="both"/>
        <w:rPr>
          <w:rFonts w:ascii="Times New Roman" w:hAnsi="Times New Roman" w:cs="Times New Roman"/>
          <w:sz w:val="24"/>
          <w:szCs w:val="24"/>
        </w:rPr>
      </w:pPr>
      <w:r w:rsidRPr="005623DC">
        <w:rPr>
          <w:rFonts w:ascii="Times New Roman" w:hAnsi="Times New Roman" w:cs="Times New Roman"/>
          <w:sz w:val="24"/>
          <w:szCs w:val="24"/>
        </w:rPr>
        <w:t>Supporting the advocacy and resource mobilisation strategy of the CO</w:t>
      </w:r>
      <w:r w:rsidR="00045C81" w:rsidRPr="005623DC">
        <w:rPr>
          <w:rFonts w:ascii="Times New Roman" w:hAnsi="Times New Roman" w:cs="Times New Roman"/>
          <w:sz w:val="24"/>
          <w:szCs w:val="24"/>
        </w:rPr>
        <w:t>, by ensuring preparation of relevant documentation, i.e. project summaries, conference papers, speeches, donor profiles, and participating in related meetings and public events.</w:t>
      </w:r>
    </w:p>
    <w:p w14:paraId="7FF3158C" w14:textId="1CDC8DFF" w:rsidR="00743231" w:rsidRPr="005623DC" w:rsidRDefault="00743231" w:rsidP="006B2936">
      <w:pPr>
        <w:rPr>
          <w:rFonts w:eastAsia="Arial"/>
          <w:color w:val="000000"/>
          <w:u w:color="000000"/>
        </w:rPr>
      </w:pPr>
    </w:p>
    <w:p w14:paraId="08FF92AF" w14:textId="17DA336A" w:rsidR="00743231" w:rsidRPr="005623DC" w:rsidRDefault="006A4AF8" w:rsidP="006B2936">
      <w:pPr>
        <w:pStyle w:val="Body"/>
        <w:spacing w:after="0" w:line="240" w:lineRule="auto"/>
        <w:rPr>
          <w:rFonts w:ascii="Times New Roman" w:hAnsi="Times New Roman" w:cs="Times New Roman"/>
          <w:b/>
          <w:bCs/>
          <w:color w:val="244061"/>
          <w:sz w:val="24"/>
          <w:szCs w:val="24"/>
          <w:u w:color="244061"/>
        </w:rPr>
      </w:pPr>
      <w:r w:rsidRPr="005623DC">
        <w:rPr>
          <w:rFonts w:ascii="Times New Roman" w:hAnsi="Times New Roman" w:cs="Times New Roman"/>
          <w:b/>
          <w:bCs/>
          <w:color w:val="244061"/>
          <w:sz w:val="24"/>
          <w:szCs w:val="24"/>
          <w:u w:color="244061"/>
        </w:rPr>
        <w:t>Qualifications and Experience</w:t>
      </w:r>
      <w:r w:rsidR="0042362D" w:rsidRPr="005623DC">
        <w:rPr>
          <w:rFonts w:ascii="Times New Roman" w:hAnsi="Times New Roman" w:cs="Times New Roman"/>
          <w:b/>
          <w:bCs/>
          <w:color w:val="244061"/>
          <w:sz w:val="24"/>
          <w:szCs w:val="24"/>
          <w:u w:color="244061"/>
        </w:rPr>
        <w:t>:</w:t>
      </w:r>
      <w:r w:rsidRPr="005623DC">
        <w:rPr>
          <w:rFonts w:ascii="Times New Roman" w:hAnsi="Times New Roman" w:cs="Times New Roman"/>
          <w:b/>
          <w:bCs/>
          <w:color w:val="244061"/>
          <w:sz w:val="24"/>
          <w:szCs w:val="24"/>
          <w:u w:color="244061"/>
        </w:rPr>
        <w:t xml:space="preserve"> </w:t>
      </w:r>
    </w:p>
    <w:p w14:paraId="0AA4C7D7" w14:textId="77777777" w:rsidR="009657FB" w:rsidRPr="005623DC" w:rsidRDefault="009657FB" w:rsidP="006B2936">
      <w:pPr>
        <w:pStyle w:val="Body"/>
        <w:spacing w:after="0" w:line="240" w:lineRule="auto"/>
        <w:rPr>
          <w:rFonts w:ascii="Times New Roman" w:hAnsi="Times New Roman" w:cs="Times New Roman"/>
          <w:b/>
          <w:bCs/>
          <w:color w:val="244061"/>
          <w:sz w:val="24"/>
          <w:szCs w:val="24"/>
          <w:u w:color="244061"/>
        </w:rPr>
      </w:pPr>
    </w:p>
    <w:p w14:paraId="6C1C87AB" w14:textId="466B71E0" w:rsidR="00743231" w:rsidRPr="005623DC" w:rsidRDefault="006A4AF8" w:rsidP="006B2936">
      <w:pPr>
        <w:pStyle w:val="Body"/>
        <w:spacing w:after="0" w:line="240" w:lineRule="auto"/>
        <w:rPr>
          <w:rFonts w:ascii="Times New Roman" w:eastAsia="Arial" w:hAnsi="Times New Roman" w:cs="Times New Roman"/>
          <w:b/>
          <w:bCs/>
          <w:sz w:val="24"/>
          <w:szCs w:val="24"/>
        </w:rPr>
      </w:pPr>
      <w:r w:rsidRPr="005623DC">
        <w:rPr>
          <w:rFonts w:ascii="Times New Roman" w:hAnsi="Times New Roman" w:cs="Times New Roman"/>
          <w:b/>
          <w:bCs/>
          <w:color w:val="244061"/>
          <w:sz w:val="24"/>
          <w:szCs w:val="24"/>
          <w:u w:color="244061"/>
        </w:rPr>
        <w:t xml:space="preserve">Education:  </w:t>
      </w:r>
    </w:p>
    <w:p w14:paraId="0788A5EC" w14:textId="699AA50E" w:rsidR="00045C81" w:rsidRPr="005623DC" w:rsidRDefault="00045C81" w:rsidP="006B2936">
      <w:pPr>
        <w:pStyle w:val="Body"/>
        <w:spacing w:after="0" w:line="240" w:lineRule="auto"/>
        <w:rPr>
          <w:rFonts w:ascii="Times New Roman" w:hAnsi="Times New Roman" w:cs="Times New Roman"/>
          <w:sz w:val="24"/>
          <w:szCs w:val="24"/>
        </w:rPr>
      </w:pPr>
      <w:r w:rsidRPr="005623DC">
        <w:rPr>
          <w:rFonts w:ascii="Times New Roman" w:hAnsi="Times New Roman" w:cs="Times New Roman"/>
          <w:sz w:val="24"/>
          <w:szCs w:val="24"/>
        </w:rPr>
        <w:t xml:space="preserve">Advanced degree in health, population, demography and/or other related social science </w:t>
      </w:r>
      <w:r w:rsidR="0094306B" w:rsidRPr="005623DC">
        <w:rPr>
          <w:rFonts w:ascii="Times New Roman" w:hAnsi="Times New Roman" w:cs="Times New Roman"/>
          <w:sz w:val="24"/>
          <w:szCs w:val="24"/>
        </w:rPr>
        <w:t>discipline</w:t>
      </w:r>
      <w:r w:rsidRPr="005623DC">
        <w:rPr>
          <w:rFonts w:ascii="Times New Roman" w:hAnsi="Times New Roman" w:cs="Times New Roman"/>
          <w:sz w:val="24"/>
          <w:szCs w:val="24"/>
        </w:rPr>
        <w:t>.</w:t>
      </w:r>
    </w:p>
    <w:p w14:paraId="1912BA24" w14:textId="77777777" w:rsidR="00625AD3" w:rsidRPr="005623DC" w:rsidRDefault="00625AD3" w:rsidP="006B2936">
      <w:pPr>
        <w:pStyle w:val="Body"/>
        <w:spacing w:after="0" w:line="240" w:lineRule="auto"/>
        <w:rPr>
          <w:rFonts w:ascii="Times New Roman" w:hAnsi="Times New Roman" w:cs="Times New Roman"/>
          <w:b/>
          <w:bCs/>
          <w:color w:val="244061"/>
          <w:sz w:val="24"/>
          <w:szCs w:val="24"/>
          <w:u w:color="244061"/>
        </w:rPr>
      </w:pPr>
    </w:p>
    <w:p w14:paraId="228FF842" w14:textId="17C26E6B" w:rsidR="002D77C9" w:rsidRPr="005623DC" w:rsidRDefault="006A4AF8" w:rsidP="006B2936">
      <w:pPr>
        <w:pStyle w:val="Body"/>
        <w:spacing w:after="0" w:line="240" w:lineRule="auto"/>
        <w:rPr>
          <w:rFonts w:ascii="Times New Roman" w:hAnsi="Times New Roman" w:cs="Times New Roman"/>
          <w:b/>
          <w:bCs/>
          <w:color w:val="244061"/>
          <w:sz w:val="24"/>
          <w:szCs w:val="24"/>
          <w:u w:color="244061"/>
        </w:rPr>
      </w:pPr>
      <w:r w:rsidRPr="005623DC">
        <w:rPr>
          <w:rFonts w:ascii="Times New Roman" w:hAnsi="Times New Roman" w:cs="Times New Roman"/>
          <w:b/>
          <w:bCs/>
          <w:color w:val="244061"/>
          <w:sz w:val="24"/>
          <w:szCs w:val="24"/>
          <w:u w:color="244061"/>
        </w:rPr>
        <w:t xml:space="preserve">Knowledge and Experience: </w:t>
      </w:r>
    </w:p>
    <w:p w14:paraId="03B0345D" w14:textId="7AF8C7C9" w:rsidR="00045C81" w:rsidRPr="005623DC" w:rsidRDefault="00045C81" w:rsidP="00B42B58">
      <w:pPr>
        <w:pStyle w:val="Body"/>
        <w:numPr>
          <w:ilvl w:val="0"/>
          <w:numId w:val="26"/>
        </w:numPr>
        <w:spacing w:after="0" w:line="240" w:lineRule="auto"/>
        <w:jc w:val="both"/>
        <w:rPr>
          <w:rFonts w:ascii="Times New Roman" w:hAnsi="Times New Roman" w:cs="Times New Roman"/>
          <w:sz w:val="24"/>
          <w:szCs w:val="24"/>
        </w:rPr>
      </w:pPr>
      <w:r w:rsidRPr="005623DC">
        <w:rPr>
          <w:rFonts w:ascii="Times New Roman" w:hAnsi="Times New Roman" w:cs="Times New Roman"/>
          <w:sz w:val="24"/>
          <w:szCs w:val="24"/>
        </w:rPr>
        <w:t xml:space="preserve">Two </w:t>
      </w:r>
      <w:r w:rsidR="00AD768D" w:rsidRPr="005623DC">
        <w:rPr>
          <w:rFonts w:ascii="Times New Roman" w:hAnsi="Times New Roman" w:cs="Times New Roman"/>
          <w:sz w:val="24"/>
          <w:szCs w:val="24"/>
        </w:rPr>
        <w:t>years’</w:t>
      </w:r>
      <w:r w:rsidRPr="005623DC">
        <w:rPr>
          <w:rFonts w:ascii="Times New Roman" w:hAnsi="Times New Roman" w:cs="Times New Roman"/>
          <w:sz w:val="24"/>
          <w:szCs w:val="24"/>
        </w:rPr>
        <w:t xml:space="preserve"> professional experience in the field of development and population activities, with experience i</w:t>
      </w:r>
      <w:r w:rsidR="00EE40EE" w:rsidRPr="005623DC">
        <w:rPr>
          <w:rFonts w:ascii="Times New Roman" w:hAnsi="Times New Roman" w:cs="Times New Roman"/>
          <w:sz w:val="24"/>
          <w:szCs w:val="24"/>
        </w:rPr>
        <w:t>n programme/ project management</w:t>
      </w:r>
    </w:p>
    <w:p w14:paraId="1833E1BD" w14:textId="3FAC6494" w:rsidR="00EE40EE" w:rsidRPr="005623DC" w:rsidRDefault="00EE40EE" w:rsidP="00B42B58">
      <w:pPr>
        <w:pStyle w:val="Body"/>
        <w:numPr>
          <w:ilvl w:val="0"/>
          <w:numId w:val="26"/>
        </w:numPr>
        <w:spacing w:after="0" w:line="240" w:lineRule="auto"/>
        <w:jc w:val="both"/>
        <w:rPr>
          <w:rFonts w:ascii="Times New Roman" w:hAnsi="Times New Roman" w:cs="Times New Roman"/>
          <w:sz w:val="24"/>
          <w:szCs w:val="24"/>
        </w:rPr>
      </w:pPr>
      <w:r w:rsidRPr="005623DC">
        <w:rPr>
          <w:rFonts w:ascii="Times New Roman" w:hAnsi="Times New Roman" w:cs="Times New Roman"/>
          <w:sz w:val="24"/>
          <w:szCs w:val="24"/>
        </w:rPr>
        <w:t>Practical experience in design, monitoring and evaluation of development projects</w:t>
      </w:r>
    </w:p>
    <w:p w14:paraId="14C86039" w14:textId="598BC829" w:rsidR="00EE40EE" w:rsidRPr="005623DC" w:rsidRDefault="00EE40EE" w:rsidP="00B42B58">
      <w:pPr>
        <w:pStyle w:val="Body"/>
        <w:numPr>
          <w:ilvl w:val="0"/>
          <w:numId w:val="26"/>
        </w:numPr>
        <w:spacing w:after="0" w:line="240" w:lineRule="auto"/>
        <w:jc w:val="both"/>
        <w:rPr>
          <w:rFonts w:ascii="Times New Roman" w:hAnsi="Times New Roman" w:cs="Times New Roman"/>
          <w:sz w:val="24"/>
          <w:szCs w:val="24"/>
        </w:rPr>
      </w:pPr>
      <w:r w:rsidRPr="005623DC">
        <w:rPr>
          <w:rFonts w:ascii="Times New Roman" w:hAnsi="Times New Roman" w:cs="Times New Roman"/>
          <w:sz w:val="24"/>
          <w:szCs w:val="24"/>
        </w:rPr>
        <w:t>Experience using office software packages and web-based management systems.</w:t>
      </w:r>
    </w:p>
    <w:p w14:paraId="74FEFC52" w14:textId="77777777" w:rsidR="00F313EC" w:rsidRPr="005623DC" w:rsidRDefault="00F313EC" w:rsidP="00B42B58">
      <w:pPr>
        <w:pStyle w:val="Body"/>
        <w:spacing w:after="0" w:line="240" w:lineRule="auto"/>
        <w:jc w:val="both"/>
        <w:rPr>
          <w:rFonts w:ascii="Times New Roman" w:hAnsi="Times New Roman" w:cs="Times New Roman"/>
          <w:b/>
          <w:bCs/>
          <w:color w:val="244061"/>
          <w:sz w:val="24"/>
          <w:szCs w:val="24"/>
          <w:u w:color="244061"/>
        </w:rPr>
      </w:pPr>
    </w:p>
    <w:p w14:paraId="072D0BA2" w14:textId="0C8382D3" w:rsidR="00743231" w:rsidRPr="005623DC" w:rsidRDefault="006A4AF8" w:rsidP="006B2936">
      <w:pPr>
        <w:pStyle w:val="Body"/>
        <w:spacing w:after="0" w:line="240" w:lineRule="auto"/>
        <w:rPr>
          <w:rFonts w:ascii="Times New Roman" w:hAnsi="Times New Roman" w:cs="Times New Roman"/>
          <w:b/>
          <w:bCs/>
          <w:color w:val="244061"/>
          <w:sz w:val="24"/>
          <w:szCs w:val="24"/>
          <w:u w:color="244061"/>
        </w:rPr>
      </w:pPr>
      <w:r w:rsidRPr="005623DC">
        <w:rPr>
          <w:rFonts w:ascii="Times New Roman" w:hAnsi="Times New Roman" w:cs="Times New Roman"/>
          <w:b/>
          <w:bCs/>
          <w:color w:val="244061"/>
          <w:sz w:val="24"/>
          <w:szCs w:val="24"/>
          <w:u w:color="244061"/>
        </w:rPr>
        <w:t xml:space="preserve">Languages: </w:t>
      </w:r>
    </w:p>
    <w:p w14:paraId="78E6DBC8" w14:textId="77777777" w:rsidR="00847988" w:rsidRPr="005623DC" w:rsidRDefault="00847988" w:rsidP="006B2936">
      <w:pPr>
        <w:pStyle w:val="Body"/>
        <w:spacing w:after="0" w:line="240" w:lineRule="auto"/>
        <w:rPr>
          <w:rFonts w:ascii="Times New Roman" w:hAnsi="Times New Roman" w:cs="Times New Roman"/>
          <w:sz w:val="24"/>
          <w:szCs w:val="24"/>
        </w:rPr>
      </w:pPr>
    </w:p>
    <w:p w14:paraId="476B4D52" w14:textId="02AC5B25" w:rsidR="00B42B58" w:rsidRPr="005623DC" w:rsidRDefault="00B42B58" w:rsidP="00B42B58">
      <w:pPr>
        <w:rPr>
          <w:rFonts w:eastAsia="Calibri"/>
          <w:b/>
          <w:color w:val="244061"/>
        </w:rPr>
      </w:pPr>
      <w:r w:rsidRPr="005623DC">
        <w:rPr>
          <w:rFonts w:eastAsia="Calibri"/>
          <w:color w:val="000000"/>
        </w:rPr>
        <w:t xml:space="preserve">Fluency in English; working knowledge of Tetum and </w:t>
      </w:r>
      <w:r w:rsidR="00C62723" w:rsidRPr="005623DC">
        <w:rPr>
          <w:rFonts w:eastAsia="Calibri"/>
          <w:color w:val="000000"/>
        </w:rPr>
        <w:t>Bahasa i</w:t>
      </w:r>
      <w:r w:rsidRPr="005623DC">
        <w:rPr>
          <w:rFonts w:eastAsia="Calibri"/>
          <w:color w:val="000000"/>
        </w:rPr>
        <w:t>s an added advantage.</w:t>
      </w:r>
    </w:p>
    <w:p w14:paraId="42AA4B0D" w14:textId="77777777" w:rsidR="00342B7A" w:rsidRPr="005623DC" w:rsidRDefault="00342B7A" w:rsidP="006B2936">
      <w:pPr>
        <w:pStyle w:val="Body"/>
        <w:spacing w:after="0" w:line="240" w:lineRule="auto"/>
        <w:rPr>
          <w:rFonts w:ascii="Times New Roman" w:hAnsi="Times New Roman" w:cs="Times New Roman"/>
          <w:b/>
          <w:bCs/>
          <w:color w:val="244061"/>
          <w:sz w:val="24"/>
          <w:szCs w:val="24"/>
          <w:u w:color="244061"/>
        </w:rPr>
      </w:pPr>
    </w:p>
    <w:p w14:paraId="4B8A78CC" w14:textId="1A7CD955" w:rsidR="00847988" w:rsidRPr="005623DC" w:rsidRDefault="00F2686E" w:rsidP="006B2936">
      <w:pPr>
        <w:pStyle w:val="Body"/>
        <w:spacing w:after="0" w:line="240" w:lineRule="auto"/>
        <w:rPr>
          <w:rFonts w:ascii="Times New Roman" w:hAnsi="Times New Roman" w:cs="Times New Roman"/>
          <w:b/>
          <w:bCs/>
          <w:color w:val="244061"/>
          <w:sz w:val="24"/>
          <w:szCs w:val="24"/>
          <w:u w:color="244061"/>
        </w:rPr>
      </w:pPr>
      <w:r w:rsidRPr="005623DC">
        <w:rPr>
          <w:rFonts w:ascii="Times New Roman" w:hAnsi="Times New Roman" w:cs="Times New Roman"/>
          <w:b/>
          <w:bCs/>
          <w:color w:val="244061"/>
          <w:sz w:val="24"/>
          <w:szCs w:val="24"/>
          <w:u w:color="244061"/>
        </w:rPr>
        <w:t>Required Competencies:</w:t>
      </w:r>
    </w:p>
    <w:p w14:paraId="1D222D37" w14:textId="77777777" w:rsidR="00847988" w:rsidRPr="005623DC" w:rsidRDefault="00847988" w:rsidP="006B2936">
      <w:pPr>
        <w:pStyle w:val="Body"/>
        <w:spacing w:after="0" w:line="240" w:lineRule="auto"/>
        <w:rPr>
          <w:rFonts w:ascii="Times New Roman" w:hAnsi="Times New Roman" w:cs="Times New Roman"/>
          <w:b/>
          <w:bCs/>
          <w:color w:val="244061"/>
          <w:sz w:val="24"/>
          <w:szCs w:val="24"/>
          <w:u w:color="244061"/>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rsidRPr="005623DC" w14:paraId="0C27DDF4" w14:textId="77777777" w:rsidTr="00D97014">
        <w:trPr>
          <w:trHeight w:val="2655"/>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Pr="005623DC" w:rsidRDefault="006A4AF8" w:rsidP="006B2936">
            <w:pPr>
              <w:pStyle w:val="Body"/>
              <w:spacing w:after="0" w:line="240" w:lineRule="auto"/>
              <w:rPr>
                <w:rFonts w:ascii="Times New Roman" w:hAnsi="Times New Roman" w:cs="Times New Roman"/>
                <w:b/>
                <w:bCs/>
                <w:color w:val="244061"/>
                <w:sz w:val="24"/>
                <w:szCs w:val="24"/>
                <w:u w:color="244061"/>
              </w:rPr>
            </w:pPr>
            <w:r w:rsidRPr="005623DC">
              <w:rPr>
                <w:rFonts w:ascii="Times New Roman" w:hAnsi="Times New Roman" w:cs="Times New Roman"/>
                <w:b/>
                <w:bCs/>
                <w:color w:val="244061"/>
                <w:sz w:val="24"/>
                <w:szCs w:val="24"/>
                <w:u w:color="244061"/>
              </w:rPr>
              <w:t>Values:</w:t>
            </w:r>
          </w:p>
          <w:p w14:paraId="19104ECB" w14:textId="77777777" w:rsidR="00743231" w:rsidRPr="005623DC" w:rsidRDefault="006A4AF8" w:rsidP="006B2936">
            <w:pPr>
              <w:pStyle w:val="ListParagraph"/>
              <w:numPr>
                <w:ilvl w:val="0"/>
                <w:numId w:val="7"/>
              </w:numPr>
              <w:spacing w:after="0" w:line="240" w:lineRule="auto"/>
              <w:rPr>
                <w:rFonts w:ascii="Times New Roman" w:hAnsi="Times New Roman" w:cs="Times New Roman"/>
                <w:sz w:val="24"/>
                <w:szCs w:val="24"/>
              </w:rPr>
            </w:pPr>
            <w:r w:rsidRPr="005623DC">
              <w:rPr>
                <w:rFonts w:ascii="Times New Roman" w:hAnsi="Times New Roman" w:cs="Times New Roman"/>
                <w:sz w:val="24"/>
                <w:szCs w:val="24"/>
              </w:rPr>
              <w:t xml:space="preserve">Exemplifying integrity, </w:t>
            </w:r>
          </w:p>
          <w:p w14:paraId="21AB74ED" w14:textId="77777777" w:rsidR="00743231" w:rsidRPr="005623DC" w:rsidRDefault="006A4AF8" w:rsidP="006B2936">
            <w:pPr>
              <w:pStyle w:val="ListParagraph"/>
              <w:numPr>
                <w:ilvl w:val="0"/>
                <w:numId w:val="7"/>
              </w:numPr>
              <w:spacing w:after="0" w:line="240" w:lineRule="auto"/>
              <w:rPr>
                <w:rFonts w:ascii="Times New Roman" w:hAnsi="Times New Roman" w:cs="Times New Roman"/>
                <w:sz w:val="24"/>
                <w:szCs w:val="24"/>
              </w:rPr>
            </w:pPr>
            <w:r w:rsidRPr="005623DC">
              <w:rPr>
                <w:rFonts w:ascii="Times New Roman" w:hAnsi="Times New Roman" w:cs="Times New Roman"/>
                <w:sz w:val="24"/>
                <w:szCs w:val="24"/>
              </w:rPr>
              <w:t xml:space="preserve">Demonstrating commitment to UNFPA and the UN system, </w:t>
            </w:r>
          </w:p>
          <w:p w14:paraId="49B15DE5" w14:textId="77777777" w:rsidR="00743231" w:rsidRPr="005623DC" w:rsidRDefault="006A4AF8" w:rsidP="006B2936">
            <w:pPr>
              <w:pStyle w:val="ListParagraph"/>
              <w:numPr>
                <w:ilvl w:val="0"/>
                <w:numId w:val="7"/>
              </w:numPr>
              <w:spacing w:after="0" w:line="240" w:lineRule="auto"/>
              <w:rPr>
                <w:rFonts w:ascii="Times New Roman" w:hAnsi="Times New Roman" w:cs="Times New Roman"/>
                <w:sz w:val="24"/>
                <w:szCs w:val="24"/>
              </w:rPr>
            </w:pPr>
            <w:r w:rsidRPr="005623DC">
              <w:rPr>
                <w:rFonts w:ascii="Times New Roman" w:hAnsi="Times New Roman" w:cs="Times New Roman"/>
                <w:sz w:val="24"/>
                <w:szCs w:val="24"/>
              </w:rPr>
              <w:t xml:space="preserve">Embracing cultural diversity, </w:t>
            </w:r>
          </w:p>
          <w:p w14:paraId="346C0411" w14:textId="77777777" w:rsidR="00743231" w:rsidRPr="005623DC" w:rsidRDefault="006A4AF8" w:rsidP="006B2936">
            <w:pPr>
              <w:pStyle w:val="ListParagraph"/>
              <w:numPr>
                <w:ilvl w:val="0"/>
                <w:numId w:val="7"/>
              </w:numPr>
              <w:spacing w:after="0" w:line="240" w:lineRule="auto"/>
              <w:rPr>
                <w:rFonts w:ascii="Times New Roman" w:hAnsi="Times New Roman" w:cs="Times New Roman"/>
                <w:sz w:val="24"/>
                <w:szCs w:val="24"/>
              </w:rPr>
            </w:pPr>
            <w:r w:rsidRPr="005623DC">
              <w:rPr>
                <w:rFonts w:ascii="Times New Roman" w:hAnsi="Times New Roman" w:cs="Times New Roman"/>
                <w:sz w:val="24"/>
                <w:szCs w:val="24"/>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Pr="005623DC" w:rsidRDefault="003809A7" w:rsidP="006B2936">
            <w:pPr>
              <w:pStyle w:val="Body"/>
              <w:spacing w:after="0" w:line="240" w:lineRule="auto"/>
              <w:rPr>
                <w:rFonts w:ascii="Times New Roman" w:hAnsi="Times New Roman" w:cs="Times New Roman"/>
                <w:b/>
                <w:bCs/>
                <w:color w:val="244061"/>
                <w:sz w:val="24"/>
                <w:szCs w:val="24"/>
                <w:u w:color="244061"/>
              </w:rPr>
            </w:pPr>
            <w:r w:rsidRPr="005623DC">
              <w:rPr>
                <w:rFonts w:ascii="Times New Roman" w:hAnsi="Times New Roman" w:cs="Times New Roman"/>
                <w:b/>
                <w:bCs/>
                <w:color w:val="244061"/>
                <w:sz w:val="24"/>
                <w:szCs w:val="24"/>
                <w:u w:color="244061"/>
              </w:rPr>
              <w:t>Functional Competencies:</w:t>
            </w:r>
          </w:p>
          <w:p w14:paraId="30EF2AC7" w14:textId="77777777" w:rsidR="006B2936" w:rsidRPr="005623DC"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color w:val="000000"/>
              </w:rPr>
            </w:pPr>
            <w:r w:rsidRPr="005623DC">
              <w:rPr>
                <w:color w:val="000000"/>
              </w:rPr>
              <w:t>Advocacy/ Advancing a policy-oriented agenda</w:t>
            </w:r>
          </w:p>
          <w:p w14:paraId="6248EF7B" w14:textId="77777777" w:rsidR="006B2936" w:rsidRPr="005623DC"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color w:val="000000"/>
              </w:rPr>
            </w:pPr>
            <w:r w:rsidRPr="005623DC">
              <w:rPr>
                <w:color w:val="000000"/>
              </w:rPr>
              <w:t>Leveraging the resources of national governments and partners/ building strategic alliances and partnerships</w:t>
            </w:r>
          </w:p>
          <w:p w14:paraId="23181DB3" w14:textId="77777777" w:rsidR="006B2936" w:rsidRPr="005623DC"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color w:val="000000"/>
              </w:rPr>
            </w:pPr>
            <w:r w:rsidRPr="005623DC">
              <w:rPr>
                <w:color w:val="000000"/>
              </w:rPr>
              <w:t>Delivering results-based programmes</w:t>
            </w:r>
          </w:p>
          <w:p w14:paraId="176EAE78" w14:textId="0B5A4500" w:rsidR="00743231" w:rsidRPr="005623DC"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color w:val="000000"/>
              </w:rPr>
            </w:pPr>
            <w:r w:rsidRPr="005623DC">
              <w:rPr>
                <w:color w:val="000000"/>
              </w:rPr>
              <w:t>Internal and external communication and advocacy for results mobilisation</w:t>
            </w:r>
          </w:p>
        </w:tc>
      </w:tr>
      <w:tr w:rsidR="00F313EC" w:rsidRPr="005623DC" w14:paraId="35E1AD20" w14:textId="77777777" w:rsidTr="0042362D">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F313EC" w:rsidRPr="005623DC" w:rsidRDefault="00F313EC" w:rsidP="006B2936">
            <w:pPr>
              <w:pStyle w:val="Body"/>
              <w:spacing w:after="0" w:line="240" w:lineRule="auto"/>
              <w:rPr>
                <w:rFonts w:ascii="Times New Roman" w:hAnsi="Times New Roman" w:cs="Times New Roman"/>
                <w:b/>
                <w:bCs/>
                <w:color w:val="244061"/>
                <w:sz w:val="24"/>
                <w:szCs w:val="24"/>
                <w:u w:color="244061"/>
              </w:rPr>
            </w:pPr>
            <w:r w:rsidRPr="005623DC">
              <w:rPr>
                <w:rFonts w:ascii="Times New Roman" w:hAnsi="Times New Roman" w:cs="Times New Roman"/>
                <w:b/>
                <w:bCs/>
                <w:color w:val="244061"/>
                <w:sz w:val="24"/>
                <w:szCs w:val="24"/>
                <w:u w:color="244061"/>
              </w:rPr>
              <w:t xml:space="preserve">Core Competencies: </w:t>
            </w:r>
          </w:p>
          <w:p w14:paraId="7F0505E2" w14:textId="77777777" w:rsidR="00F313EC" w:rsidRPr="005623DC" w:rsidRDefault="00F313EC" w:rsidP="006B2936">
            <w:pPr>
              <w:pStyle w:val="ListParagraph"/>
              <w:numPr>
                <w:ilvl w:val="0"/>
                <w:numId w:val="9"/>
              </w:numPr>
              <w:spacing w:after="0" w:line="240" w:lineRule="auto"/>
              <w:rPr>
                <w:rFonts w:ascii="Times New Roman" w:hAnsi="Times New Roman" w:cs="Times New Roman"/>
                <w:sz w:val="24"/>
                <w:szCs w:val="24"/>
              </w:rPr>
            </w:pPr>
            <w:r w:rsidRPr="005623DC">
              <w:rPr>
                <w:rFonts w:ascii="Times New Roman" w:hAnsi="Times New Roman" w:cs="Times New Roman"/>
                <w:sz w:val="24"/>
                <w:szCs w:val="24"/>
              </w:rPr>
              <w:t>Achieving results,</w:t>
            </w:r>
          </w:p>
          <w:p w14:paraId="7EBF9EBE" w14:textId="77777777" w:rsidR="00F313EC" w:rsidRPr="005623DC" w:rsidRDefault="00F313EC" w:rsidP="006B2936">
            <w:pPr>
              <w:pStyle w:val="ListParagraph"/>
              <w:numPr>
                <w:ilvl w:val="0"/>
                <w:numId w:val="9"/>
              </w:numPr>
              <w:spacing w:after="0" w:line="240" w:lineRule="auto"/>
              <w:rPr>
                <w:rFonts w:ascii="Times New Roman" w:hAnsi="Times New Roman" w:cs="Times New Roman"/>
                <w:sz w:val="24"/>
                <w:szCs w:val="24"/>
              </w:rPr>
            </w:pPr>
            <w:r w:rsidRPr="005623DC">
              <w:rPr>
                <w:rFonts w:ascii="Times New Roman" w:hAnsi="Times New Roman" w:cs="Times New Roman"/>
                <w:sz w:val="24"/>
                <w:szCs w:val="24"/>
              </w:rPr>
              <w:t>Being accountable,</w:t>
            </w:r>
          </w:p>
          <w:p w14:paraId="780CA181" w14:textId="77777777" w:rsidR="00F313EC" w:rsidRPr="005623DC" w:rsidRDefault="00F313EC" w:rsidP="006B2936">
            <w:pPr>
              <w:pStyle w:val="ListParagraph"/>
              <w:numPr>
                <w:ilvl w:val="0"/>
                <w:numId w:val="9"/>
              </w:numPr>
              <w:spacing w:after="0" w:line="240" w:lineRule="auto"/>
              <w:rPr>
                <w:rFonts w:ascii="Times New Roman" w:hAnsi="Times New Roman" w:cs="Times New Roman"/>
                <w:sz w:val="24"/>
                <w:szCs w:val="24"/>
              </w:rPr>
            </w:pPr>
            <w:r w:rsidRPr="005623DC">
              <w:rPr>
                <w:rFonts w:ascii="Times New Roman" w:hAnsi="Times New Roman" w:cs="Times New Roman"/>
                <w:sz w:val="24"/>
                <w:szCs w:val="24"/>
              </w:rPr>
              <w:t>Developing and applying professional expertise/business acumen,</w:t>
            </w:r>
          </w:p>
          <w:p w14:paraId="179CD85D" w14:textId="77777777" w:rsidR="00F313EC" w:rsidRPr="005623DC" w:rsidRDefault="00F313EC" w:rsidP="006B2936">
            <w:pPr>
              <w:pStyle w:val="ListParagraph"/>
              <w:numPr>
                <w:ilvl w:val="0"/>
                <w:numId w:val="9"/>
              </w:numPr>
              <w:spacing w:after="0" w:line="240" w:lineRule="auto"/>
              <w:rPr>
                <w:rFonts w:ascii="Times New Roman" w:hAnsi="Times New Roman" w:cs="Times New Roman"/>
                <w:sz w:val="24"/>
                <w:szCs w:val="24"/>
              </w:rPr>
            </w:pPr>
            <w:r w:rsidRPr="005623DC">
              <w:rPr>
                <w:rFonts w:ascii="Times New Roman" w:hAnsi="Times New Roman" w:cs="Times New Roman"/>
                <w:sz w:val="24"/>
                <w:szCs w:val="24"/>
              </w:rPr>
              <w:t>Thinking analytically and strategically,</w:t>
            </w:r>
          </w:p>
          <w:p w14:paraId="77251D0E" w14:textId="77777777" w:rsidR="00F313EC" w:rsidRPr="005623DC" w:rsidRDefault="00F313EC" w:rsidP="006B2936">
            <w:pPr>
              <w:pStyle w:val="ListParagraph"/>
              <w:numPr>
                <w:ilvl w:val="0"/>
                <w:numId w:val="9"/>
              </w:numPr>
              <w:spacing w:after="0" w:line="240" w:lineRule="auto"/>
              <w:rPr>
                <w:rFonts w:ascii="Times New Roman" w:hAnsi="Times New Roman" w:cs="Times New Roman"/>
                <w:sz w:val="24"/>
                <w:szCs w:val="24"/>
              </w:rPr>
            </w:pPr>
            <w:r w:rsidRPr="005623DC">
              <w:rPr>
                <w:rFonts w:ascii="Times New Roman" w:hAnsi="Times New Roman" w:cs="Times New Roman"/>
                <w:sz w:val="24"/>
                <w:szCs w:val="24"/>
              </w:rPr>
              <w:t>Working in teams/managing ourselves and our relationships,</w:t>
            </w:r>
          </w:p>
          <w:p w14:paraId="65D8A7E8" w14:textId="77777777" w:rsidR="00F313EC" w:rsidRPr="005623DC" w:rsidRDefault="00F313EC" w:rsidP="006B2936">
            <w:pPr>
              <w:pStyle w:val="ListParagraph"/>
              <w:numPr>
                <w:ilvl w:val="0"/>
                <w:numId w:val="9"/>
              </w:numPr>
              <w:spacing w:after="0" w:line="240" w:lineRule="auto"/>
              <w:rPr>
                <w:rFonts w:ascii="Times New Roman" w:hAnsi="Times New Roman" w:cs="Times New Roman"/>
                <w:sz w:val="24"/>
                <w:szCs w:val="24"/>
              </w:rPr>
            </w:pPr>
            <w:r w:rsidRPr="005623DC">
              <w:rPr>
                <w:rFonts w:ascii="Times New Roman" w:hAnsi="Times New Roman" w:cs="Times New Roman"/>
                <w:sz w:val="24"/>
                <w:szCs w:val="24"/>
              </w:rPr>
              <w:t xml:space="preserve">Communicating for impact </w:t>
            </w:r>
          </w:p>
          <w:p w14:paraId="33F680E7" w14:textId="411259D2" w:rsidR="00F313EC" w:rsidRPr="005623DC" w:rsidRDefault="00F313EC" w:rsidP="006B2936"/>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1916E172" w14:textId="77777777" w:rsidR="009F5874" w:rsidRPr="005623DC" w:rsidRDefault="009F5874" w:rsidP="006B2936">
            <w:pPr>
              <w:pStyle w:val="NormalWeb"/>
              <w:spacing w:before="0" w:beforeAutospacing="0" w:after="0" w:afterAutospacing="0"/>
              <w:rPr>
                <w:color w:val="000000"/>
              </w:rPr>
            </w:pPr>
            <w:r w:rsidRPr="005623DC">
              <w:rPr>
                <w:b/>
                <w:bCs/>
                <w:color w:val="244061"/>
              </w:rPr>
              <w:t>Managerial Competencies:</w:t>
            </w:r>
          </w:p>
          <w:p w14:paraId="1DD3A417" w14:textId="77777777" w:rsidR="009F5874" w:rsidRPr="005623DC" w:rsidRDefault="009F5874" w:rsidP="006B2936">
            <w:pPr>
              <w:pStyle w:val="NormalWeb"/>
              <w:numPr>
                <w:ilvl w:val="0"/>
                <w:numId w:val="25"/>
              </w:numPr>
              <w:spacing w:before="0" w:beforeAutospacing="0" w:after="0" w:afterAutospacing="0"/>
              <w:ind w:left="517"/>
              <w:textAlignment w:val="baseline"/>
              <w:rPr>
                <w:color w:val="000000"/>
              </w:rPr>
            </w:pPr>
            <w:r w:rsidRPr="005623DC">
              <w:rPr>
                <w:color w:val="000000"/>
              </w:rPr>
              <w:t>Providing strategic focus,</w:t>
            </w:r>
          </w:p>
          <w:p w14:paraId="5B4AB961" w14:textId="77777777" w:rsidR="009F5874" w:rsidRPr="005623DC" w:rsidRDefault="009F5874" w:rsidP="006B2936">
            <w:pPr>
              <w:pStyle w:val="NormalWeb"/>
              <w:numPr>
                <w:ilvl w:val="0"/>
                <w:numId w:val="25"/>
              </w:numPr>
              <w:spacing w:before="0" w:beforeAutospacing="0" w:after="0" w:afterAutospacing="0"/>
              <w:ind w:left="517"/>
              <w:textAlignment w:val="baseline"/>
              <w:rPr>
                <w:color w:val="000000"/>
              </w:rPr>
            </w:pPr>
            <w:r w:rsidRPr="005623DC">
              <w:rPr>
                <w:color w:val="000000"/>
              </w:rPr>
              <w:t>Engaging in internal/external partners and stakeholders,</w:t>
            </w:r>
          </w:p>
          <w:p w14:paraId="5CB6B2D3" w14:textId="77777777" w:rsidR="009F5874" w:rsidRPr="005623DC" w:rsidRDefault="009F5874" w:rsidP="006B2936">
            <w:pPr>
              <w:pStyle w:val="NormalWeb"/>
              <w:numPr>
                <w:ilvl w:val="0"/>
                <w:numId w:val="25"/>
              </w:numPr>
              <w:spacing w:before="0" w:beforeAutospacing="0" w:after="0" w:afterAutospacing="0"/>
              <w:ind w:left="517"/>
              <w:textAlignment w:val="baseline"/>
              <w:rPr>
                <w:color w:val="000000"/>
              </w:rPr>
            </w:pPr>
            <w:r w:rsidRPr="005623DC">
              <w:rPr>
                <w:color w:val="000000"/>
              </w:rPr>
              <w:t>Leading, developing and empowering people, creating a culture of performance</w:t>
            </w:r>
          </w:p>
          <w:p w14:paraId="36F6D1F6" w14:textId="7494380D" w:rsidR="00F313EC" w:rsidRPr="005623DC" w:rsidRDefault="009F5874" w:rsidP="0042362D">
            <w:pPr>
              <w:pStyle w:val="NormalWeb"/>
              <w:numPr>
                <w:ilvl w:val="0"/>
                <w:numId w:val="25"/>
              </w:numPr>
              <w:spacing w:before="0" w:beforeAutospacing="0" w:after="0" w:afterAutospacing="0"/>
              <w:ind w:left="517"/>
              <w:textAlignment w:val="baseline"/>
              <w:rPr>
                <w:color w:val="000000"/>
              </w:rPr>
            </w:pPr>
            <w:r w:rsidRPr="005623DC">
              <w:rPr>
                <w:color w:val="000000"/>
              </w:rPr>
              <w:t>Making decisions and exercising judgment</w:t>
            </w:r>
          </w:p>
        </w:tc>
      </w:tr>
    </w:tbl>
    <w:p w14:paraId="2DBB678A" w14:textId="2D749473" w:rsidR="00743231" w:rsidRPr="005623DC" w:rsidRDefault="00743231" w:rsidP="006B2936">
      <w:pPr>
        <w:pStyle w:val="Body"/>
        <w:widowControl w:val="0"/>
        <w:spacing w:after="0" w:line="240" w:lineRule="auto"/>
        <w:rPr>
          <w:rFonts w:ascii="Times New Roman" w:hAnsi="Times New Roman" w:cs="Times New Roman"/>
          <w:b/>
          <w:bCs/>
          <w:color w:val="244061"/>
          <w:sz w:val="24"/>
          <w:szCs w:val="24"/>
          <w:u w:color="244061"/>
        </w:rPr>
      </w:pPr>
    </w:p>
    <w:p w14:paraId="6640A1D7" w14:textId="77777777" w:rsidR="00D87C87" w:rsidRPr="005623DC" w:rsidRDefault="00D87C87" w:rsidP="00D87C87">
      <w:pPr>
        <w:pStyle w:val="Default"/>
        <w:rPr>
          <w:rFonts w:ascii="Times New Roman" w:hAnsi="Times New Roman" w:cs="Times New Roman"/>
          <w:b/>
          <w:sz w:val="24"/>
          <w:szCs w:val="24"/>
        </w:rPr>
      </w:pPr>
      <w:r w:rsidRPr="005623DC">
        <w:rPr>
          <w:rFonts w:ascii="Times New Roman" w:hAnsi="Times New Roman" w:cs="Times New Roman"/>
          <w:b/>
          <w:bCs/>
          <w:sz w:val="24"/>
          <w:szCs w:val="24"/>
        </w:rPr>
        <w:t xml:space="preserve">How to apply: </w:t>
      </w:r>
    </w:p>
    <w:p w14:paraId="588DAA5E" w14:textId="77777777" w:rsidR="00D87C87" w:rsidRPr="005623DC" w:rsidRDefault="00D87C87" w:rsidP="00D87C87">
      <w:pPr>
        <w:jc w:val="both"/>
      </w:pPr>
    </w:p>
    <w:p w14:paraId="4F560667" w14:textId="77777777" w:rsidR="003E0E0F" w:rsidRDefault="00D87C87" w:rsidP="00F41B86">
      <w:pPr>
        <w:jc w:val="both"/>
        <w:rPr>
          <w:bCs/>
          <w:i/>
        </w:rPr>
      </w:pPr>
      <w:r w:rsidRPr="005623DC">
        <w:rPr>
          <w:bCs/>
          <w:i/>
        </w:rPr>
        <w:t xml:space="preserve">Interested candidates should submit an application letter and a completed United Nations Personal History (P11) Form by email to </w:t>
      </w:r>
      <w:hyperlink r:id="rId8" w:history="1">
        <w:r w:rsidR="009C1950" w:rsidRPr="00A678DA">
          <w:rPr>
            <w:rStyle w:val="Hyperlink"/>
            <w:b/>
            <w:i/>
          </w:rPr>
          <w:t>timor-leste.office@unfpa.org</w:t>
        </w:r>
      </w:hyperlink>
      <w:r w:rsidR="00091375" w:rsidRPr="005623DC">
        <w:rPr>
          <w:rStyle w:val="Hyperlink"/>
          <w:i/>
          <w:u w:val="none"/>
        </w:rPr>
        <w:t xml:space="preserve">. </w:t>
      </w:r>
      <w:r w:rsidRPr="005623DC">
        <w:rPr>
          <w:bCs/>
          <w:i/>
        </w:rPr>
        <w:t xml:space="preserve">  The P11 is available on the UNFPA websites at </w:t>
      </w:r>
      <w:hyperlink r:id="rId9" w:history="1">
        <w:r w:rsidRPr="005623DC">
          <w:rPr>
            <w:rStyle w:val="Hyperlink"/>
            <w:b/>
            <w:u w:val="none"/>
          </w:rPr>
          <w:t>https://timor-leste.unfpa.org/en/vacancies</w:t>
        </w:r>
      </w:hyperlink>
      <w:r w:rsidRPr="00397540">
        <w:rPr>
          <w:i/>
        </w:rPr>
        <w:t>.</w:t>
      </w:r>
      <w:r w:rsidRPr="00397540">
        <w:rPr>
          <w:bCs/>
          <w:i/>
        </w:rPr>
        <w:t xml:space="preserve"> </w:t>
      </w:r>
    </w:p>
    <w:p w14:paraId="71BE0785" w14:textId="77777777" w:rsidR="003E0E0F" w:rsidRDefault="003E0E0F" w:rsidP="00F41B86">
      <w:pPr>
        <w:jc w:val="both"/>
        <w:rPr>
          <w:bCs/>
          <w:i/>
        </w:rPr>
      </w:pPr>
    </w:p>
    <w:p w14:paraId="58B5BC31" w14:textId="32408F16" w:rsidR="00F41B86" w:rsidRDefault="00F41B86" w:rsidP="00F41B86">
      <w:pPr>
        <w:jc w:val="both"/>
        <w:rPr>
          <w:i/>
        </w:rPr>
      </w:pPr>
      <w:r w:rsidRPr="00C62F2E">
        <w:rPr>
          <w:i/>
        </w:rPr>
        <w:t xml:space="preserve">Hard copies application with duly completed P11 and CV could be submitted to the UNFPA office (in a sealed envelope addressed to Jose Soares).   </w:t>
      </w:r>
    </w:p>
    <w:p w14:paraId="288DB461" w14:textId="77777777" w:rsidR="00C94CB2" w:rsidRDefault="00C94CB2" w:rsidP="001503CD">
      <w:pPr>
        <w:jc w:val="both"/>
        <w:rPr>
          <w:bCs/>
          <w:i/>
        </w:rPr>
      </w:pPr>
    </w:p>
    <w:p w14:paraId="40F5D453" w14:textId="77777777" w:rsidR="00C94CB2" w:rsidRDefault="00C94CB2" w:rsidP="001503CD">
      <w:pPr>
        <w:jc w:val="both"/>
        <w:rPr>
          <w:bCs/>
          <w:i/>
        </w:rPr>
      </w:pPr>
    </w:p>
    <w:p w14:paraId="586EF397" w14:textId="380747C0" w:rsidR="001503CD" w:rsidRDefault="00D87C87" w:rsidP="001503CD">
      <w:pPr>
        <w:jc w:val="both"/>
        <w:rPr>
          <w:i/>
        </w:rPr>
      </w:pPr>
      <w:r w:rsidRPr="00397540">
        <w:rPr>
          <w:bCs/>
          <w:i/>
        </w:rPr>
        <w:t xml:space="preserve"> </w:t>
      </w:r>
      <w:r w:rsidR="001503CD">
        <w:rPr>
          <w:i/>
        </w:rPr>
        <w:t xml:space="preserve">UNFPA will only be able to respond to those applications in whom UNFPA has a further interest.  </w:t>
      </w:r>
      <w:r w:rsidR="003E0E0F" w:rsidRPr="003E0E0F">
        <w:rPr>
          <w:i/>
        </w:rPr>
        <w:t>For the one who applied before, no need</w:t>
      </w:r>
      <w:r w:rsidR="003E0E0F">
        <w:rPr>
          <w:i/>
        </w:rPr>
        <w:t xml:space="preserve"> to re-submit their application.</w:t>
      </w:r>
    </w:p>
    <w:p w14:paraId="2F792417" w14:textId="5F0AC854" w:rsidR="00397540" w:rsidRPr="00397540" w:rsidRDefault="00397540" w:rsidP="00397540">
      <w:pPr>
        <w:jc w:val="both"/>
        <w:rPr>
          <w:bCs/>
          <w:i/>
          <w:sz w:val="22"/>
          <w:szCs w:val="22"/>
        </w:rPr>
      </w:pPr>
    </w:p>
    <w:p w14:paraId="6A12AACC" w14:textId="77777777" w:rsidR="00D87C87" w:rsidRPr="005623DC" w:rsidRDefault="00D87C87" w:rsidP="00D87C87">
      <w:pPr>
        <w:jc w:val="both"/>
        <w:rPr>
          <w:bCs/>
          <w:i/>
          <w:iCs/>
        </w:rPr>
      </w:pPr>
      <w:r w:rsidRPr="005623DC">
        <w:rPr>
          <w:bCs/>
          <w:i/>
          <w:iCs/>
        </w:rPr>
        <w:t xml:space="preserve">UNFPA provides a work environment that reflects the values of gender equality, teamwork, respect for diversity, integrity and a healthy balance of work and life.  We are committed to maintaining our balances gender distribution.   </w:t>
      </w:r>
    </w:p>
    <w:p w14:paraId="692F5668" w14:textId="77777777" w:rsidR="00D87C87" w:rsidRPr="005623DC" w:rsidRDefault="00D87C87" w:rsidP="00D87C87">
      <w:pPr>
        <w:jc w:val="both"/>
        <w:rPr>
          <w:bCs/>
          <w:i/>
          <w:iCs/>
        </w:rPr>
      </w:pPr>
    </w:p>
    <w:p w14:paraId="5812CF1D" w14:textId="77777777" w:rsidR="00D87C87" w:rsidRPr="005623DC" w:rsidRDefault="00D87C87" w:rsidP="00D87C87">
      <w:pPr>
        <w:jc w:val="both"/>
        <w:rPr>
          <w:bCs/>
          <w:i/>
          <w:iCs/>
        </w:rPr>
      </w:pPr>
      <w:r w:rsidRPr="005623DC">
        <w:rPr>
          <w:bCs/>
          <w:i/>
          <w:iCs/>
        </w:rPr>
        <w:t>We offer an attractive remuneration package commensurate with the level of the position.</w:t>
      </w:r>
    </w:p>
    <w:p w14:paraId="64A0649F" w14:textId="77777777" w:rsidR="00D87C87" w:rsidRPr="005623DC" w:rsidRDefault="00D87C87" w:rsidP="00D87C87">
      <w:pPr>
        <w:jc w:val="both"/>
        <w:rPr>
          <w:bCs/>
          <w:i/>
          <w:iCs/>
        </w:rPr>
      </w:pPr>
    </w:p>
    <w:p w14:paraId="784126D6" w14:textId="77777777" w:rsidR="00D87C87" w:rsidRPr="005623DC" w:rsidRDefault="00D87C87" w:rsidP="00D87C87">
      <w:pPr>
        <w:jc w:val="both"/>
        <w:rPr>
          <w:bCs/>
          <w:i/>
          <w:iCs/>
        </w:rPr>
      </w:pPr>
      <w:r w:rsidRPr="005623DC">
        <w:rPr>
          <w:bCs/>
          <w:i/>
          <w:iCs/>
        </w:rPr>
        <w:t>Notice: There is no application, processing or other fee at any stage of the application process.  UNFPA does not solicit or screen for information in respect of HIV or AIDS and does not discriminate on the basis of HIV/AIDs status.</w:t>
      </w:r>
    </w:p>
    <w:p w14:paraId="767BE257" w14:textId="77777777" w:rsidR="00D87C87" w:rsidRPr="005623DC" w:rsidRDefault="00D87C87" w:rsidP="00D87C87">
      <w:pPr>
        <w:jc w:val="both"/>
        <w:rPr>
          <w:bCs/>
          <w:i/>
        </w:rPr>
      </w:pPr>
    </w:p>
    <w:p w14:paraId="09A71487" w14:textId="77777777" w:rsidR="00D87C87" w:rsidRPr="005623DC" w:rsidRDefault="00D87C87" w:rsidP="00D87C87">
      <w:pPr>
        <w:jc w:val="both"/>
        <w:rPr>
          <w:bCs/>
          <w:i/>
        </w:rPr>
      </w:pPr>
      <w:r w:rsidRPr="005623DC">
        <w:rPr>
          <w:bCs/>
          <w:i/>
        </w:rPr>
        <w:t>Qualified men and women are equally encouraged to apply.</w:t>
      </w:r>
    </w:p>
    <w:p w14:paraId="69CB2854" w14:textId="77777777" w:rsidR="00D87C87" w:rsidRPr="005623DC" w:rsidRDefault="00D87C87" w:rsidP="00D87C87">
      <w:pPr>
        <w:jc w:val="both"/>
        <w:rPr>
          <w:rFonts w:eastAsia="Calibri"/>
          <w:i/>
          <w:color w:val="244061"/>
        </w:rPr>
      </w:pPr>
    </w:p>
    <w:p w14:paraId="1F7E272C" w14:textId="641AE2AD" w:rsidR="00D87C87" w:rsidRDefault="00D87C87" w:rsidP="00D87C87">
      <w:pPr>
        <w:rPr>
          <w:rFonts w:eastAsia="Calibri"/>
          <w:color w:val="000000"/>
        </w:rPr>
      </w:pPr>
      <w:r w:rsidRPr="005623DC">
        <w:rPr>
          <w:rFonts w:eastAsia="Calibri"/>
          <w:color w:val="000000"/>
        </w:rPr>
        <w:t>Approved by:</w:t>
      </w:r>
    </w:p>
    <w:p w14:paraId="2CA5DADC" w14:textId="77777777" w:rsidR="00D87C87" w:rsidRPr="005623DC" w:rsidRDefault="00D87C87" w:rsidP="00D87C87">
      <w:pPr>
        <w:rPr>
          <w:rFonts w:eastAsia="Calibri"/>
          <w:color w:val="000000"/>
        </w:rPr>
      </w:pPr>
      <w:r w:rsidRPr="005623DC">
        <w:rPr>
          <w:rFonts w:eastAsia="Calibri"/>
          <w:color w:val="000000"/>
        </w:rPr>
        <w:t>Mr. Ronny Lindstrom</w:t>
      </w:r>
    </w:p>
    <w:p w14:paraId="14ACBCB6" w14:textId="6538BC14" w:rsidR="009C3A70" w:rsidRPr="005623DC" w:rsidRDefault="00D87C87" w:rsidP="004F4042">
      <w:r w:rsidRPr="005623DC">
        <w:rPr>
          <w:rFonts w:eastAsia="Calibri"/>
          <w:color w:val="000000"/>
        </w:rPr>
        <w:t>Representative, UNFPA</w:t>
      </w:r>
    </w:p>
    <w:sectPr w:rsidR="009C3A70" w:rsidRPr="005623DC">
      <w:headerReference w:type="default" r:id="rId10"/>
      <w:footerReference w:type="default" r:id="rId11"/>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D9751" w14:textId="77777777" w:rsidR="000F2611" w:rsidRDefault="000F2611">
      <w:r>
        <w:separator/>
      </w:r>
    </w:p>
  </w:endnote>
  <w:endnote w:type="continuationSeparator" w:id="0">
    <w:p w14:paraId="7F50074E" w14:textId="77777777" w:rsidR="000F2611" w:rsidRDefault="000F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A516" w14:textId="77777777" w:rsidR="00743231" w:rsidRDefault="0074323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5F139" w14:textId="77777777" w:rsidR="000F2611" w:rsidRDefault="000F2611">
      <w:r>
        <w:separator/>
      </w:r>
    </w:p>
  </w:footnote>
  <w:footnote w:type="continuationSeparator" w:id="0">
    <w:p w14:paraId="05037FD1" w14:textId="77777777" w:rsidR="000F2611" w:rsidRDefault="000F26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98F"/>
    <w:multiLevelType w:val="hybridMultilevel"/>
    <w:tmpl w:val="AD88D24E"/>
    <w:styleLink w:val="ImportedStyle1"/>
    <w:lvl w:ilvl="0" w:tplc="B8EE37C0">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23A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402FA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A22E92">
      <w:start w:val="1"/>
      <w:numFmt w:val="bullet"/>
      <w:lvlText w:val="·"/>
      <w:lvlJc w:val="left"/>
      <w:pPr>
        <w:ind w:left="25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AC942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5EDA0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34093A">
      <w:start w:val="1"/>
      <w:numFmt w:val="bullet"/>
      <w:lvlText w:val="·"/>
      <w:lvlJc w:val="left"/>
      <w:pPr>
        <w:ind w:left="47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8A15B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30B34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B549A"/>
    <w:multiLevelType w:val="hybridMultilevel"/>
    <w:tmpl w:val="D6481C34"/>
    <w:numStyleLink w:val="Bullets"/>
  </w:abstractNum>
  <w:abstractNum w:abstractNumId="3"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D6E5A"/>
    <w:multiLevelType w:val="hybridMultilevel"/>
    <w:tmpl w:val="AFDC0E9C"/>
    <w:numStyleLink w:val="ImportedStyle2"/>
  </w:abstractNum>
  <w:abstractNum w:abstractNumId="6"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B3A2D04"/>
    <w:multiLevelType w:val="hybridMultilevel"/>
    <w:tmpl w:val="AFDC0E9C"/>
    <w:numStyleLink w:val="ImportedStyle2"/>
  </w:abstractNum>
  <w:abstractNum w:abstractNumId="8" w15:restartNumberingAfterBreak="0">
    <w:nsid w:val="21CE1522"/>
    <w:multiLevelType w:val="hybridMultilevel"/>
    <w:tmpl w:val="AFDC0E9C"/>
    <w:numStyleLink w:val="ImportedStyle2"/>
  </w:abstractNum>
  <w:abstractNum w:abstractNumId="9" w15:restartNumberingAfterBreak="0">
    <w:nsid w:val="23E66EC0"/>
    <w:multiLevelType w:val="hybridMultilevel"/>
    <w:tmpl w:val="AD88D24E"/>
    <w:numStyleLink w:val="ImportedStyle1"/>
  </w:abstractNum>
  <w:abstractNum w:abstractNumId="10"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 w15:restartNumberingAfterBreak="0">
    <w:nsid w:val="2AD96FD9"/>
    <w:multiLevelType w:val="hybridMultilevel"/>
    <w:tmpl w:val="D6481C34"/>
    <w:numStyleLink w:val="Bullets"/>
  </w:abstractNum>
  <w:abstractNum w:abstractNumId="12" w15:restartNumberingAfterBreak="0">
    <w:nsid w:val="2C8229F6"/>
    <w:multiLevelType w:val="hybridMultilevel"/>
    <w:tmpl w:val="CB4C98C6"/>
    <w:numStyleLink w:val="ImportedStyle3"/>
  </w:abstractNum>
  <w:abstractNum w:abstractNumId="13" w15:restartNumberingAfterBreak="0">
    <w:nsid w:val="2EB10669"/>
    <w:multiLevelType w:val="hybridMultilevel"/>
    <w:tmpl w:val="AD88D24E"/>
    <w:numStyleLink w:val="ImportedStyle1"/>
  </w:abstractNum>
  <w:abstractNum w:abstractNumId="14"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7542D35"/>
    <w:multiLevelType w:val="hybridMultilevel"/>
    <w:tmpl w:val="B778021C"/>
    <w:numStyleLink w:val="ImportedStyle10"/>
  </w:abstractNum>
  <w:abstractNum w:abstractNumId="20" w15:restartNumberingAfterBreak="0">
    <w:nsid w:val="501A3ED8"/>
    <w:multiLevelType w:val="hybridMultilevel"/>
    <w:tmpl w:val="D6481C34"/>
    <w:numStyleLink w:val="Bullets"/>
  </w:abstractNum>
  <w:abstractNum w:abstractNumId="21" w15:restartNumberingAfterBreak="0">
    <w:nsid w:val="539A08A3"/>
    <w:multiLevelType w:val="hybridMultilevel"/>
    <w:tmpl w:val="F732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71C98"/>
    <w:multiLevelType w:val="hybridMultilevel"/>
    <w:tmpl w:val="AD88D24E"/>
    <w:numStyleLink w:val="ImportedStyle1"/>
  </w:abstractNum>
  <w:abstractNum w:abstractNumId="23"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6747FE1"/>
    <w:multiLevelType w:val="hybridMultilevel"/>
    <w:tmpl w:val="AD88D24E"/>
    <w:numStyleLink w:val="ImportedStyle1"/>
  </w:abstractNum>
  <w:abstractNum w:abstractNumId="25" w15:restartNumberingAfterBreak="0">
    <w:nsid w:val="7C1A34B7"/>
    <w:multiLevelType w:val="multilevel"/>
    <w:tmpl w:val="1CC0708C"/>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26" w15:restartNumberingAfterBreak="0">
    <w:nsid w:val="7E1F5270"/>
    <w:multiLevelType w:val="hybridMultilevel"/>
    <w:tmpl w:val="AD88D24E"/>
    <w:numStyleLink w:val="ImportedStyle1"/>
  </w:abstractNum>
  <w:num w:numId="1">
    <w:abstractNumId w:val="6"/>
  </w:num>
  <w:num w:numId="2">
    <w:abstractNumId w:val="20"/>
  </w:num>
  <w:num w:numId="3">
    <w:abstractNumId w:val="17"/>
  </w:num>
  <w:num w:numId="4">
    <w:abstractNumId w:val="5"/>
  </w:num>
  <w:num w:numId="5">
    <w:abstractNumId w:val="18"/>
  </w:num>
  <w:num w:numId="6">
    <w:abstractNumId w:val="12"/>
  </w:num>
  <w:num w:numId="7">
    <w:abstractNumId w:val="16"/>
  </w:num>
  <w:num w:numId="8">
    <w:abstractNumId w:val="14"/>
  </w:num>
  <w:num w:numId="9">
    <w:abstractNumId w:val="23"/>
  </w:num>
  <w:num w:numId="10">
    <w:abstractNumId w:val="3"/>
  </w:num>
  <w:num w:numId="11">
    <w:abstractNumId w:val="10"/>
  </w:num>
  <w:num w:numId="12">
    <w:abstractNumId w:val="19"/>
  </w:num>
  <w:num w:numId="13">
    <w:abstractNumId w:val="15"/>
  </w:num>
  <w:num w:numId="14">
    <w:abstractNumId w:val="4"/>
  </w:num>
  <w:num w:numId="15">
    <w:abstractNumId w:val="0"/>
  </w:num>
  <w:num w:numId="16">
    <w:abstractNumId w:val="26"/>
  </w:num>
  <w:num w:numId="17">
    <w:abstractNumId w:val="11"/>
  </w:num>
  <w:num w:numId="18">
    <w:abstractNumId w:val="7"/>
  </w:num>
  <w:num w:numId="19">
    <w:abstractNumId w:val="22"/>
  </w:num>
  <w:num w:numId="20">
    <w:abstractNumId w:val="2"/>
  </w:num>
  <w:num w:numId="21">
    <w:abstractNumId w:val="8"/>
  </w:num>
  <w:num w:numId="22">
    <w:abstractNumId w:val="24"/>
  </w:num>
  <w:num w:numId="23">
    <w:abstractNumId w:val="13"/>
  </w:num>
  <w:num w:numId="24">
    <w:abstractNumId w:val="9"/>
  </w:num>
  <w:num w:numId="25">
    <w:abstractNumId w:val="1"/>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45C81"/>
    <w:rsid w:val="00055E5D"/>
    <w:rsid w:val="00091375"/>
    <w:rsid w:val="000A6F95"/>
    <w:rsid w:val="000C3189"/>
    <w:rsid w:val="000C43B8"/>
    <w:rsid w:val="000C5AEC"/>
    <w:rsid w:val="000F2611"/>
    <w:rsid w:val="00126007"/>
    <w:rsid w:val="00126404"/>
    <w:rsid w:val="001427AB"/>
    <w:rsid w:val="001503CD"/>
    <w:rsid w:val="0015209B"/>
    <w:rsid w:val="00161549"/>
    <w:rsid w:val="00162E13"/>
    <w:rsid w:val="00186330"/>
    <w:rsid w:val="0019384F"/>
    <w:rsid w:val="001B20D7"/>
    <w:rsid w:val="001B4289"/>
    <w:rsid w:val="001E127E"/>
    <w:rsid w:val="001E5E1D"/>
    <w:rsid w:val="001F4CC9"/>
    <w:rsid w:val="00203424"/>
    <w:rsid w:val="00227F4B"/>
    <w:rsid w:val="00243039"/>
    <w:rsid w:val="00262B7C"/>
    <w:rsid w:val="00294A04"/>
    <w:rsid w:val="002D77C9"/>
    <w:rsid w:val="00303FC7"/>
    <w:rsid w:val="00334FC2"/>
    <w:rsid w:val="00342B7A"/>
    <w:rsid w:val="00364310"/>
    <w:rsid w:val="00364FB9"/>
    <w:rsid w:val="0037130E"/>
    <w:rsid w:val="003809A7"/>
    <w:rsid w:val="003851C8"/>
    <w:rsid w:val="00397540"/>
    <w:rsid w:val="003B5456"/>
    <w:rsid w:val="003D237F"/>
    <w:rsid w:val="003E0E0F"/>
    <w:rsid w:val="004072BB"/>
    <w:rsid w:val="00414684"/>
    <w:rsid w:val="0042362D"/>
    <w:rsid w:val="004431F0"/>
    <w:rsid w:val="0045155D"/>
    <w:rsid w:val="004A072C"/>
    <w:rsid w:val="004C28F2"/>
    <w:rsid w:val="004F4042"/>
    <w:rsid w:val="00513FAC"/>
    <w:rsid w:val="00551AC4"/>
    <w:rsid w:val="005623DC"/>
    <w:rsid w:val="00596D95"/>
    <w:rsid w:val="005A3A01"/>
    <w:rsid w:val="005A7B61"/>
    <w:rsid w:val="005B7758"/>
    <w:rsid w:val="005D29FA"/>
    <w:rsid w:val="005D6313"/>
    <w:rsid w:val="005E0232"/>
    <w:rsid w:val="005E2229"/>
    <w:rsid w:val="005F56F0"/>
    <w:rsid w:val="00605520"/>
    <w:rsid w:val="00613BA6"/>
    <w:rsid w:val="00625AD3"/>
    <w:rsid w:val="006263FA"/>
    <w:rsid w:val="00641EDD"/>
    <w:rsid w:val="006741CD"/>
    <w:rsid w:val="006A4AF8"/>
    <w:rsid w:val="006B2392"/>
    <w:rsid w:val="006B2936"/>
    <w:rsid w:val="006B70BB"/>
    <w:rsid w:val="00703828"/>
    <w:rsid w:val="0070635E"/>
    <w:rsid w:val="00723936"/>
    <w:rsid w:val="007304D2"/>
    <w:rsid w:val="00732422"/>
    <w:rsid w:val="00743231"/>
    <w:rsid w:val="00767397"/>
    <w:rsid w:val="0079740E"/>
    <w:rsid w:val="007D0071"/>
    <w:rsid w:val="007E07F3"/>
    <w:rsid w:val="008341E0"/>
    <w:rsid w:val="00847988"/>
    <w:rsid w:val="00851B7D"/>
    <w:rsid w:val="008B38B7"/>
    <w:rsid w:val="008B7FEB"/>
    <w:rsid w:val="008C0E7E"/>
    <w:rsid w:val="008F0F99"/>
    <w:rsid w:val="0094306B"/>
    <w:rsid w:val="009462E8"/>
    <w:rsid w:val="00960278"/>
    <w:rsid w:val="00961FD4"/>
    <w:rsid w:val="009657FB"/>
    <w:rsid w:val="00984743"/>
    <w:rsid w:val="009C0FE0"/>
    <w:rsid w:val="009C13D1"/>
    <w:rsid w:val="009C1950"/>
    <w:rsid w:val="009C3A70"/>
    <w:rsid w:val="009F5874"/>
    <w:rsid w:val="00A511D3"/>
    <w:rsid w:val="00A95E2E"/>
    <w:rsid w:val="00AA4915"/>
    <w:rsid w:val="00AD768D"/>
    <w:rsid w:val="00B25D4D"/>
    <w:rsid w:val="00B308DA"/>
    <w:rsid w:val="00B35AAC"/>
    <w:rsid w:val="00B42B58"/>
    <w:rsid w:val="00B5302F"/>
    <w:rsid w:val="00B57833"/>
    <w:rsid w:val="00B6768A"/>
    <w:rsid w:val="00B72382"/>
    <w:rsid w:val="00BA0D2C"/>
    <w:rsid w:val="00BB1470"/>
    <w:rsid w:val="00C1338A"/>
    <w:rsid w:val="00C31D5B"/>
    <w:rsid w:val="00C327AF"/>
    <w:rsid w:val="00C513DB"/>
    <w:rsid w:val="00C540E8"/>
    <w:rsid w:val="00C6234A"/>
    <w:rsid w:val="00C62723"/>
    <w:rsid w:val="00C73E2B"/>
    <w:rsid w:val="00C90D70"/>
    <w:rsid w:val="00C94CB2"/>
    <w:rsid w:val="00D262BA"/>
    <w:rsid w:val="00D42FEB"/>
    <w:rsid w:val="00D74812"/>
    <w:rsid w:val="00D87C87"/>
    <w:rsid w:val="00D9538F"/>
    <w:rsid w:val="00D97014"/>
    <w:rsid w:val="00DF0A6C"/>
    <w:rsid w:val="00E05F76"/>
    <w:rsid w:val="00E16856"/>
    <w:rsid w:val="00E27420"/>
    <w:rsid w:val="00E3636D"/>
    <w:rsid w:val="00E444EC"/>
    <w:rsid w:val="00E47CF1"/>
    <w:rsid w:val="00E52A9F"/>
    <w:rsid w:val="00E67DDF"/>
    <w:rsid w:val="00EC2A80"/>
    <w:rsid w:val="00EE0651"/>
    <w:rsid w:val="00EE40EE"/>
    <w:rsid w:val="00F2686E"/>
    <w:rsid w:val="00F313EC"/>
    <w:rsid w:val="00F41B86"/>
    <w:rsid w:val="00F43974"/>
    <w:rsid w:val="00F43DFA"/>
    <w:rsid w:val="00F624FF"/>
    <w:rsid w:val="00F71C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pPr>
      <w:numPr>
        <w:numId w:val="15"/>
      </w:numPr>
    </w:pPr>
  </w:style>
  <w:style w:type="paragraph" w:styleId="NormalWeb">
    <w:name w:val="Normal (Web)"/>
    <w:basedOn w:val="Normal"/>
    <w:uiPriority w:val="99"/>
    <w:unhideWhenUsed/>
    <w:rsid w:val="009F58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table" w:styleId="TableGrid">
    <w:name w:val="Table Grid"/>
    <w:basedOn w:val="TableNormal"/>
    <w:uiPriority w:val="39"/>
    <w:rsid w:val="00D87C8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3705">
      <w:bodyDiv w:val="1"/>
      <w:marLeft w:val="0"/>
      <w:marRight w:val="0"/>
      <w:marTop w:val="0"/>
      <w:marBottom w:val="0"/>
      <w:divBdr>
        <w:top w:val="none" w:sz="0" w:space="0" w:color="auto"/>
        <w:left w:val="none" w:sz="0" w:space="0" w:color="auto"/>
        <w:bottom w:val="none" w:sz="0" w:space="0" w:color="auto"/>
        <w:right w:val="none" w:sz="0" w:space="0" w:color="auto"/>
      </w:divBdr>
    </w:div>
    <w:div w:id="2104908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imor-leste.office@unfp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imor-leste.unfpa.org/en/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74C43-E7F3-4D22-BC57-2AAB747C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Jose Soares</cp:lastModifiedBy>
  <cp:revision>2</cp:revision>
  <cp:lastPrinted>2021-03-01T05:44:00Z</cp:lastPrinted>
  <dcterms:created xsi:type="dcterms:W3CDTF">2021-03-30T01:19:00Z</dcterms:created>
  <dcterms:modified xsi:type="dcterms:W3CDTF">2021-03-30T01:19:00Z</dcterms:modified>
</cp:coreProperties>
</file>