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3" w:rsidRDefault="00E328E7" w:rsidP="004D6189">
      <w:pPr>
        <w:pStyle w:val="Captio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Date: 12 October 2020</w:t>
      </w:r>
    </w:p>
    <w:p w:rsidR="00E328E7" w:rsidRPr="00E328E7" w:rsidRDefault="00E328E7" w:rsidP="00E328E7"/>
    <w:p w:rsidR="008337D3" w:rsidRPr="00E328E7" w:rsidRDefault="008337D3" w:rsidP="008337D3">
      <w:pPr>
        <w:pStyle w:val="Caption"/>
        <w:rPr>
          <w:sz w:val="18"/>
          <w:szCs w:val="18"/>
        </w:rPr>
      </w:pPr>
      <w:r w:rsidRPr="00E328E7">
        <w:rPr>
          <w:sz w:val="18"/>
          <w:szCs w:val="18"/>
        </w:rPr>
        <w:t xml:space="preserve">REQUEST FOR QUOTATION </w:t>
      </w:r>
    </w:p>
    <w:p w:rsidR="008337D3" w:rsidRPr="00E328E7" w:rsidRDefault="008337D3" w:rsidP="008337D3">
      <w:pPr>
        <w:jc w:val="center"/>
        <w:rPr>
          <w:b/>
          <w:sz w:val="18"/>
          <w:szCs w:val="18"/>
          <w:lang w:val="pt-PT"/>
        </w:rPr>
      </w:pPr>
      <w:r w:rsidRPr="00E328E7">
        <w:rPr>
          <w:b/>
          <w:sz w:val="18"/>
          <w:szCs w:val="18"/>
          <w:lang w:val="pt-PT"/>
        </w:rPr>
        <w:t>RFQ Nº UNFPA/TLS/RFQ/20</w:t>
      </w:r>
      <w:r w:rsidR="009E399D" w:rsidRPr="00E328E7">
        <w:rPr>
          <w:b/>
          <w:sz w:val="18"/>
          <w:szCs w:val="18"/>
          <w:lang w:val="pt-PT"/>
        </w:rPr>
        <w:t>20</w:t>
      </w:r>
      <w:r w:rsidRPr="00E328E7">
        <w:rPr>
          <w:b/>
          <w:sz w:val="18"/>
          <w:szCs w:val="18"/>
          <w:lang w:val="pt-PT"/>
        </w:rPr>
        <w:t>/0</w:t>
      </w:r>
      <w:r w:rsidR="001B3C1E" w:rsidRPr="00E328E7">
        <w:rPr>
          <w:b/>
          <w:sz w:val="18"/>
          <w:szCs w:val="18"/>
          <w:lang w:val="pt-PT"/>
        </w:rPr>
        <w:t>0</w:t>
      </w:r>
      <w:r w:rsidR="00067186" w:rsidRPr="00E328E7">
        <w:rPr>
          <w:b/>
          <w:sz w:val="18"/>
          <w:szCs w:val="18"/>
          <w:lang w:val="pt-PT"/>
        </w:rPr>
        <w:t>9</w:t>
      </w:r>
      <w:r w:rsidRPr="00E328E7">
        <w:rPr>
          <w:b/>
          <w:sz w:val="18"/>
          <w:szCs w:val="18"/>
          <w:lang w:val="pt-PT"/>
        </w:rPr>
        <w:t>- Advertisement</w:t>
      </w:r>
    </w:p>
    <w:p w:rsidR="008337D3" w:rsidRPr="00E328E7" w:rsidRDefault="008337D3" w:rsidP="008337D3">
      <w:pPr>
        <w:jc w:val="center"/>
        <w:rPr>
          <w:sz w:val="18"/>
          <w:szCs w:val="18"/>
          <w:lang w:val="pt-PT"/>
        </w:rPr>
      </w:pPr>
    </w:p>
    <w:p w:rsidR="008337D3" w:rsidRPr="00E328E7" w:rsidRDefault="008337D3" w:rsidP="008337D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18"/>
          <w:szCs w:val="18"/>
        </w:rPr>
      </w:pPr>
      <w:r w:rsidRPr="00E328E7">
        <w:rPr>
          <w:sz w:val="18"/>
          <w:szCs w:val="18"/>
        </w:rPr>
        <w:t>Dear Sir/Madam,</w:t>
      </w:r>
    </w:p>
    <w:p w:rsidR="00067186" w:rsidRPr="00E328E7" w:rsidRDefault="00067186" w:rsidP="008337D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18"/>
          <w:szCs w:val="18"/>
        </w:rPr>
      </w:pPr>
    </w:p>
    <w:p w:rsidR="00067186" w:rsidRPr="00E328E7" w:rsidRDefault="00067186" w:rsidP="00067186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b/>
          <w:sz w:val="18"/>
          <w:szCs w:val="18"/>
          <w:u w:val="single"/>
        </w:rPr>
      </w:pPr>
      <w:r w:rsidRPr="00E328E7">
        <w:rPr>
          <w:b/>
          <w:sz w:val="18"/>
          <w:szCs w:val="18"/>
          <w:u w:val="single"/>
        </w:rPr>
        <w:t>Supply for One (1) Unit 4x4 SUV/SALON/PICK-UP Car</w:t>
      </w:r>
    </w:p>
    <w:p w:rsidR="00067186" w:rsidRPr="00E328E7" w:rsidRDefault="00067186" w:rsidP="00067186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b/>
          <w:sz w:val="18"/>
          <w:szCs w:val="18"/>
          <w:u w:val="single"/>
        </w:rPr>
      </w:pPr>
    </w:p>
    <w:p w:rsidR="00067186" w:rsidRPr="00E328E7" w:rsidRDefault="00067186" w:rsidP="00067186">
      <w:pPr>
        <w:jc w:val="both"/>
        <w:rPr>
          <w:sz w:val="18"/>
          <w:szCs w:val="18"/>
          <w:highlight w:val="yellow"/>
        </w:rPr>
      </w:pPr>
      <w:r w:rsidRPr="00E328E7">
        <w:rPr>
          <w:sz w:val="18"/>
          <w:szCs w:val="18"/>
        </w:rPr>
        <w:t xml:space="preserve">UNFPA hereby solicits a quotation for the following item: </w:t>
      </w:r>
    </w:p>
    <w:p w:rsidR="00067186" w:rsidRPr="00E328E7" w:rsidRDefault="00067186" w:rsidP="0006718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34"/>
        <w:gridCol w:w="4388"/>
        <w:gridCol w:w="1226"/>
        <w:gridCol w:w="984"/>
      </w:tblGrid>
      <w:tr w:rsidR="00067186" w:rsidRPr="00E328E7" w:rsidTr="00003E69">
        <w:trPr>
          <w:trHeight w:val="233"/>
        </w:trPr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Item N°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Product Name</w:t>
            </w:r>
          </w:p>
        </w:tc>
        <w:tc>
          <w:tcPr>
            <w:tcW w:w="4677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Product Description</w:t>
            </w:r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Unit of Measure</w:t>
            </w: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Quantity</w:t>
            </w:r>
          </w:p>
        </w:tc>
      </w:tr>
      <w:tr w:rsidR="00067186" w:rsidRPr="00E328E7" w:rsidTr="00067186">
        <w:trPr>
          <w:trHeight w:val="1673"/>
        </w:trPr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One (1) Unit 4x4 SUV/SALON/PICK-UP Car</w:t>
            </w:r>
          </w:p>
        </w:tc>
        <w:tc>
          <w:tcPr>
            <w:tcW w:w="4677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b/>
                <w:sz w:val="18"/>
                <w:szCs w:val="18"/>
              </w:rPr>
              <w:t>Type:</w:t>
            </w:r>
            <w:r w:rsidRPr="00E328E7">
              <w:rPr>
                <w:sz w:val="18"/>
                <w:szCs w:val="18"/>
              </w:rPr>
              <w:t xml:space="preserve"> 4x4 SUV/SALON/PICK-UP Car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b/>
                <w:sz w:val="18"/>
                <w:szCs w:val="18"/>
              </w:rPr>
              <w:t>Year of Manufacturing:</w:t>
            </w:r>
            <w:r w:rsidRPr="00E328E7">
              <w:rPr>
                <w:sz w:val="18"/>
                <w:szCs w:val="18"/>
              </w:rPr>
              <w:t xml:space="preserve"> 2020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proofErr w:type="spellStart"/>
            <w:r w:rsidRPr="00E328E7">
              <w:rPr>
                <w:b/>
                <w:sz w:val="18"/>
                <w:szCs w:val="18"/>
              </w:rPr>
              <w:t>Color</w:t>
            </w:r>
            <w:proofErr w:type="spellEnd"/>
            <w:r w:rsidRPr="00E328E7">
              <w:rPr>
                <w:b/>
                <w:sz w:val="18"/>
                <w:szCs w:val="18"/>
              </w:rPr>
              <w:t>:</w:t>
            </w:r>
            <w:r w:rsidRPr="00E328E7">
              <w:rPr>
                <w:sz w:val="18"/>
                <w:szCs w:val="18"/>
              </w:rPr>
              <w:t xml:space="preserve"> White / Silver / Blue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b/>
                <w:sz w:val="18"/>
                <w:szCs w:val="18"/>
              </w:rPr>
              <w:t>Wheel Location:</w:t>
            </w:r>
            <w:r w:rsidRPr="00E328E7">
              <w:rPr>
                <w:sz w:val="18"/>
                <w:szCs w:val="18"/>
              </w:rPr>
              <w:t xml:space="preserve"> Right Hand Driving (RHD) wheel, power steering, hydraulic, power mirrors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b/>
                <w:sz w:val="18"/>
                <w:szCs w:val="18"/>
              </w:rPr>
              <w:t>Transmission:</w:t>
            </w:r>
            <w:r w:rsidRPr="00E328E7">
              <w:rPr>
                <w:sz w:val="18"/>
                <w:szCs w:val="18"/>
              </w:rPr>
              <w:t xml:space="preserve"> 5-6 speed, manual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b/>
                <w:sz w:val="18"/>
                <w:szCs w:val="18"/>
              </w:rPr>
              <w:t>Sub-Tank:</w:t>
            </w:r>
            <w:r w:rsidRPr="00E328E7">
              <w:rPr>
                <w:sz w:val="18"/>
                <w:szCs w:val="18"/>
              </w:rPr>
              <w:t xml:space="preserve"> 83 </w:t>
            </w:r>
            <w:proofErr w:type="spellStart"/>
            <w:r w:rsidRPr="00E328E7">
              <w:rPr>
                <w:sz w:val="18"/>
                <w:szCs w:val="18"/>
              </w:rPr>
              <w:t>liter</w:t>
            </w:r>
            <w:proofErr w:type="spellEnd"/>
            <w:r w:rsidRPr="00E328E7">
              <w:rPr>
                <w:sz w:val="18"/>
                <w:szCs w:val="18"/>
              </w:rPr>
              <w:t xml:space="preserve">, </w:t>
            </w:r>
          </w:p>
          <w:p w:rsidR="00067186" w:rsidRPr="00E328E7" w:rsidRDefault="00067186" w:rsidP="002E460E">
            <w:pPr>
              <w:jc w:val="both"/>
              <w:rPr>
                <w:b/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pick up bed cover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</w:tr>
      <w:tr w:rsidR="00067186" w:rsidRPr="00E328E7" w:rsidTr="00003E69">
        <w:trPr>
          <w:trHeight w:val="548"/>
        </w:trPr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Additional Features</w:t>
            </w:r>
          </w:p>
        </w:tc>
        <w:tc>
          <w:tcPr>
            <w:tcW w:w="4677" w:type="dxa"/>
          </w:tcPr>
          <w:p w:rsidR="00067186" w:rsidRPr="00E328E7" w:rsidRDefault="00067186" w:rsidP="0006718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Heavy Duty</w:t>
            </w:r>
          </w:p>
          <w:p w:rsidR="00067186" w:rsidRPr="00E328E7" w:rsidRDefault="00067186" w:rsidP="0006718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After sales services</w:t>
            </w:r>
          </w:p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</w:tr>
      <w:tr w:rsidR="00067186" w:rsidRPr="00E328E7" w:rsidTr="002E460E"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Delivery Place</w:t>
            </w:r>
          </w:p>
        </w:tc>
        <w:tc>
          <w:tcPr>
            <w:tcW w:w="4677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 xml:space="preserve">UNFPA, UN House, </w:t>
            </w:r>
            <w:proofErr w:type="spellStart"/>
            <w:r w:rsidRPr="00E328E7">
              <w:rPr>
                <w:sz w:val="18"/>
                <w:szCs w:val="18"/>
              </w:rPr>
              <w:t>Caicoli</w:t>
            </w:r>
            <w:proofErr w:type="spellEnd"/>
            <w:r w:rsidRPr="00E328E7">
              <w:rPr>
                <w:sz w:val="18"/>
                <w:szCs w:val="18"/>
              </w:rPr>
              <w:t xml:space="preserve"> Street, Dili, Timor </w:t>
            </w:r>
            <w:proofErr w:type="spellStart"/>
            <w:r w:rsidRPr="00E328E7">
              <w:rPr>
                <w:sz w:val="18"/>
                <w:szCs w:val="18"/>
              </w:rPr>
              <w:t>Leste</w:t>
            </w:r>
            <w:proofErr w:type="spellEnd"/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</w:tr>
      <w:tr w:rsidR="00067186" w:rsidRPr="00E328E7" w:rsidTr="002E460E"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Delivery Time</w:t>
            </w:r>
          </w:p>
        </w:tc>
        <w:tc>
          <w:tcPr>
            <w:tcW w:w="4677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</w:tr>
      <w:tr w:rsidR="00067186" w:rsidRPr="00E328E7" w:rsidTr="002E460E">
        <w:tc>
          <w:tcPr>
            <w:tcW w:w="959" w:type="dxa"/>
          </w:tcPr>
          <w:p w:rsidR="00067186" w:rsidRPr="00E328E7" w:rsidRDefault="00067186" w:rsidP="002E460E">
            <w:pPr>
              <w:jc w:val="center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  <w:r w:rsidRPr="00E328E7">
              <w:rPr>
                <w:sz w:val="18"/>
                <w:szCs w:val="18"/>
              </w:rPr>
              <w:t>Warranty</w:t>
            </w:r>
          </w:p>
        </w:tc>
        <w:tc>
          <w:tcPr>
            <w:tcW w:w="4677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067186" w:rsidRPr="00E328E7" w:rsidRDefault="00067186" w:rsidP="002E460E">
            <w:pPr>
              <w:jc w:val="both"/>
              <w:rPr>
                <w:sz w:val="18"/>
                <w:szCs w:val="18"/>
              </w:rPr>
            </w:pPr>
          </w:p>
        </w:tc>
      </w:tr>
    </w:tbl>
    <w:p w:rsidR="008337D3" w:rsidRPr="00E328E7" w:rsidRDefault="008337D3" w:rsidP="008337D3">
      <w:pPr>
        <w:jc w:val="both"/>
        <w:rPr>
          <w:sz w:val="18"/>
          <w:szCs w:val="18"/>
        </w:rPr>
      </w:pPr>
    </w:p>
    <w:p w:rsidR="00003E69" w:rsidRDefault="008337D3" w:rsidP="00003E69">
      <w:pPr>
        <w:spacing w:after="200" w:line="360" w:lineRule="auto"/>
        <w:rPr>
          <w:rFonts w:eastAsiaTheme="minorHAnsi"/>
          <w:color w:val="3B3B3B"/>
          <w:w w:val="105"/>
          <w:sz w:val="18"/>
          <w:szCs w:val="18"/>
        </w:rPr>
      </w:pPr>
      <w:bookmarkStart w:id="0" w:name="_GoBack"/>
      <w:r w:rsidRPr="00E328E7">
        <w:rPr>
          <w:rFonts w:eastAsiaTheme="minorHAnsi"/>
          <w:color w:val="181818"/>
          <w:w w:val="105"/>
          <w:sz w:val="18"/>
          <w:szCs w:val="18"/>
        </w:rPr>
        <w:t>This</w:t>
      </w:r>
      <w:r w:rsidRPr="00E328E7">
        <w:rPr>
          <w:rFonts w:eastAsiaTheme="minorHAnsi"/>
          <w:color w:val="181818"/>
          <w:spacing w:val="43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Request</w:t>
      </w:r>
      <w:r w:rsidRPr="00E328E7">
        <w:rPr>
          <w:rFonts w:eastAsiaTheme="minorHAnsi"/>
          <w:spacing w:val="35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for</w:t>
      </w:r>
      <w:r w:rsidRPr="00E328E7">
        <w:rPr>
          <w:rFonts w:eastAsiaTheme="minorHAnsi"/>
          <w:spacing w:val="47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Quotation</w:t>
      </w:r>
      <w:r w:rsidRPr="00E328E7">
        <w:rPr>
          <w:rFonts w:eastAsiaTheme="minorHAnsi"/>
          <w:spacing w:val="41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is</w:t>
      </w:r>
      <w:r w:rsidRPr="00E328E7">
        <w:rPr>
          <w:rFonts w:eastAsiaTheme="minorHAnsi"/>
          <w:spacing w:val="18"/>
          <w:w w:val="105"/>
          <w:sz w:val="18"/>
          <w:szCs w:val="18"/>
        </w:rPr>
        <w:t xml:space="preserve"> </w:t>
      </w:r>
      <w:r w:rsidRPr="00E328E7">
        <w:rPr>
          <w:rFonts w:eastAsiaTheme="minorHAnsi"/>
          <w:color w:val="3B3B3B"/>
          <w:w w:val="105"/>
          <w:sz w:val="18"/>
          <w:szCs w:val="18"/>
        </w:rPr>
        <w:t>open</w:t>
      </w:r>
      <w:r w:rsidRPr="00E328E7">
        <w:rPr>
          <w:rFonts w:eastAsiaTheme="minorHAnsi"/>
          <w:color w:val="3B3B3B"/>
          <w:spacing w:val="25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to</w:t>
      </w:r>
      <w:r w:rsidRPr="00E328E7">
        <w:rPr>
          <w:rFonts w:eastAsiaTheme="minorHAnsi"/>
          <w:spacing w:val="39"/>
          <w:w w:val="105"/>
          <w:sz w:val="18"/>
          <w:szCs w:val="18"/>
        </w:rPr>
        <w:t xml:space="preserve"> </w:t>
      </w:r>
      <w:r w:rsidRPr="00E328E7">
        <w:rPr>
          <w:rFonts w:eastAsiaTheme="minorHAnsi"/>
          <w:color w:val="181818"/>
          <w:w w:val="105"/>
          <w:sz w:val="18"/>
          <w:szCs w:val="18"/>
        </w:rPr>
        <w:t>all</w:t>
      </w:r>
      <w:r w:rsidRPr="00E328E7">
        <w:rPr>
          <w:rFonts w:eastAsiaTheme="minorHAnsi"/>
          <w:color w:val="181818"/>
          <w:spacing w:val="38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legally-constituted</w:t>
      </w:r>
      <w:r w:rsidRPr="00E328E7">
        <w:rPr>
          <w:rFonts w:eastAsiaTheme="minorHAnsi"/>
          <w:spacing w:val="56"/>
          <w:w w:val="105"/>
          <w:sz w:val="18"/>
          <w:szCs w:val="18"/>
        </w:rPr>
        <w:t xml:space="preserve"> company </w:t>
      </w:r>
      <w:r w:rsidRPr="00E328E7">
        <w:rPr>
          <w:rFonts w:eastAsiaTheme="minorHAnsi"/>
          <w:w w:val="105"/>
          <w:sz w:val="18"/>
          <w:szCs w:val="18"/>
        </w:rPr>
        <w:t>or</w:t>
      </w:r>
      <w:r w:rsidRPr="00E328E7">
        <w:rPr>
          <w:rFonts w:eastAsiaTheme="minorHAnsi"/>
          <w:spacing w:val="38"/>
          <w:w w:val="105"/>
          <w:sz w:val="18"/>
          <w:szCs w:val="18"/>
        </w:rPr>
        <w:t xml:space="preserve"> </w:t>
      </w:r>
      <w:r w:rsidRPr="00E328E7">
        <w:rPr>
          <w:rFonts w:eastAsiaTheme="minorHAnsi"/>
          <w:color w:val="3B3B3B"/>
          <w:w w:val="105"/>
          <w:sz w:val="18"/>
          <w:szCs w:val="18"/>
        </w:rPr>
        <w:t>institutions,</w:t>
      </w:r>
      <w:r w:rsidRPr="00E328E7">
        <w:rPr>
          <w:rFonts w:eastAsiaTheme="minorHAnsi"/>
          <w:color w:val="3B3B3B"/>
          <w:spacing w:val="39"/>
          <w:w w:val="105"/>
          <w:sz w:val="18"/>
          <w:szCs w:val="18"/>
        </w:rPr>
        <w:t xml:space="preserve"> </w:t>
      </w:r>
      <w:r w:rsidRPr="00E328E7">
        <w:rPr>
          <w:rFonts w:eastAsiaTheme="minorHAnsi"/>
          <w:b/>
          <w:bCs/>
          <w:w w:val="105"/>
          <w:sz w:val="18"/>
          <w:szCs w:val="18"/>
        </w:rPr>
        <w:t>(local</w:t>
      </w:r>
      <w:r w:rsidRPr="00E328E7">
        <w:rPr>
          <w:rFonts w:eastAsiaTheme="minorHAnsi"/>
          <w:b/>
          <w:bCs/>
          <w:w w:val="97"/>
          <w:sz w:val="18"/>
          <w:szCs w:val="18"/>
        </w:rPr>
        <w:t xml:space="preserve"> </w:t>
      </w:r>
      <w:r w:rsidRPr="00E328E7">
        <w:rPr>
          <w:rFonts w:eastAsiaTheme="minorHAnsi"/>
          <w:b/>
          <w:bCs/>
          <w:w w:val="105"/>
          <w:sz w:val="18"/>
          <w:szCs w:val="18"/>
        </w:rPr>
        <w:t>and</w:t>
      </w:r>
      <w:r w:rsidRPr="00E328E7">
        <w:rPr>
          <w:rFonts w:eastAsiaTheme="minorHAnsi"/>
          <w:b/>
          <w:bCs/>
          <w:spacing w:val="45"/>
          <w:w w:val="105"/>
          <w:sz w:val="18"/>
          <w:szCs w:val="18"/>
        </w:rPr>
        <w:t xml:space="preserve"> </w:t>
      </w:r>
      <w:r w:rsidRPr="00E328E7">
        <w:rPr>
          <w:rFonts w:eastAsiaTheme="minorHAnsi"/>
          <w:b/>
          <w:bCs/>
          <w:w w:val="105"/>
          <w:sz w:val="18"/>
          <w:szCs w:val="18"/>
        </w:rPr>
        <w:t>international company)</w:t>
      </w:r>
      <w:r w:rsidRPr="00E328E7">
        <w:rPr>
          <w:rFonts w:eastAsiaTheme="minorHAnsi"/>
          <w:b/>
          <w:bCs/>
          <w:spacing w:val="54"/>
          <w:w w:val="105"/>
          <w:sz w:val="18"/>
          <w:szCs w:val="18"/>
        </w:rPr>
        <w:t xml:space="preserve"> </w:t>
      </w:r>
      <w:r w:rsidRPr="00E328E7">
        <w:rPr>
          <w:rFonts w:eastAsiaTheme="minorHAnsi"/>
          <w:bCs/>
          <w:spacing w:val="54"/>
          <w:w w:val="105"/>
          <w:sz w:val="18"/>
          <w:szCs w:val="18"/>
        </w:rPr>
        <w:t xml:space="preserve">operated in Timor </w:t>
      </w:r>
      <w:proofErr w:type="spellStart"/>
      <w:r w:rsidRPr="00E328E7">
        <w:rPr>
          <w:rFonts w:eastAsiaTheme="minorHAnsi"/>
          <w:bCs/>
          <w:spacing w:val="54"/>
          <w:w w:val="105"/>
          <w:sz w:val="18"/>
          <w:szCs w:val="18"/>
        </w:rPr>
        <w:t>Leste</w:t>
      </w:r>
      <w:proofErr w:type="spellEnd"/>
      <w:r w:rsidRPr="00E328E7">
        <w:rPr>
          <w:rFonts w:eastAsiaTheme="minorHAnsi"/>
          <w:bCs/>
          <w:spacing w:val="54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that</w:t>
      </w:r>
      <w:r w:rsidRPr="00E328E7">
        <w:rPr>
          <w:rFonts w:eastAsiaTheme="minorHAnsi"/>
          <w:spacing w:val="54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can</w:t>
      </w:r>
      <w:r w:rsidRPr="00E328E7">
        <w:rPr>
          <w:rFonts w:eastAsiaTheme="minorHAnsi"/>
          <w:spacing w:val="53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provide</w:t>
      </w:r>
      <w:r w:rsidRPr="00E328E7">
        <w:rPr>
          <w:rFonts w:eastAsiaTheme="minorHAnsi"/>
          <w:spacing w:val="28"/>
          <w:w w:val="105"/>
          <w:sz w:val="18"/>
          <w:szCs w:val="18"/>
        </w:rPr>
        <w:t xml:space="preserve"> </w:t>
      </w:r>
      <w:r w:rsidR="00E328E7">
        <w:rPr>
          <w:rFonts w:eastAsiaTheme="minorHAnsi"/>
          <w:w w:val="105"/>
          <w:sz w:val="18"/>
          <w:szCs w:val="18"/>
        </w:rPr>
        <w:t>1</w:t>
      </w:r>
      <w:r w:rsidR="00E328E7" w:rsidRPr="00E328E7">
        <w:rPr>
          <w:rFonts w:eastAsiaTheme="minorHAnsi"/>
          <w:w w:val="105"/>
          <w:sz w:val="18"/>
          <w:szCs w:val="18"/>
        </w:rPr>
        <w:t xml:space="preserve">unit </w:t>
      </w:r>
      <w:r w:rsidR="00E328E7" w:rsidRPr="00E328E7">
        <w:rPr>
          <w:rFonts w:eastAsiaTheme="minorHAnsi"/>
          <w:b/>
          <w:w w:val="105"/>
          <w:sz w:val="18"/>
          <w:szCs w:val="18"/>
        </w:rPr>
        <w:t>Car</w:t>
      </w:r>
      <w:r w:rsidRPr="00E328E7">
        <w:rPr>
          <w:rFonts w:eastAsiaTheme="minorHAnsi"/>
          <w:w w:val="105"/>
          <w:sz w:val="18"/>
          <w:szCs w:val="18"/>
        </w:rPr>
        <w:t xml:space="preserve"> </w:t>
      </w:r>
      <w:r w:rsidR="0077030C" w:rsidRPr="00E328E7">
        <w:rPr>
          <w:rFonts w:eastAsiaTheme="minorHAnsi"/>
          <w:w w:val="105"/>
          <w:sz w:val="18"/>
          <w:szCs w:val="18"/>
        </w:rPr>
        <w:t>to UNFPA O</w:t>
      </w:r>
      <w:r w:rsidRPr="00E328E7">
        <w:rPr>
          <w:rFonts w:eastAsiaTheme="minorHAnsi"/>
          <w:w w:val="105"/>
          <w:sz w:val="18"/>
          <w:szCs w:val="18"/>
        </w:rPr>
        <w:t xml:space="preserve">ffice in Timor </w:t>
      </w:r>
      <w:proofErr w:type="spellStart"/>
      <w:r w:rsidRPr="00E328E7">
        <w:rPr>
          <w:rFonts w:eastAsiaTheme="minorHAnsi"/>
          <w:w w:val="105"/>
          <w:sz w:val="18"/>
          <w:szCs w:val="18"/>
        </w:rPr>
        <w:t>Leste</w:t>
      </w:r>
      <w:proofErr w:type="spellEnd"/>
      <w:r w:rsidRPr="00E328E7">
        <w:rPr>
          <w:rFonts w:eastAsiaTheme="minorHAnsi"/>
          <w:w w:val="105"/>
          <w:sz w:val="18"/>
          <w:szCs w:val="18"/>
        </w:rPr>
        <w:t xml:space="preserve"> at UN House, </w:t>
      </w:r>
      <w:proofErr w:type="spellStart"/>
      <w:r w:rsidRPr="00E328E7">
        <w:rPr>
          <w:rFonts w:eastAsiaTheme="minorHAnsi"/>
          <w:w w:val="105"/>
          <w:sz w:val="18"/>
          <w:szCs w:val="18"/>
        </w:rPr>
        <w:t>Caicoli</w:t>
      </w:r>
      <w:proofErr w:type="spellEnd"/>
      <w:r w:rsidRPr="00E328E7">
        <w:rPr>
          <w:rFonts w:eastAsiaTheme="minorHAnsi"/>
          <w:w w:val="105"/>
          <w:sz w:val="18"/>
          <w:szCs w:val="18"/>
        </w:rPr>
        <w:t xml:space="preserve"> Street, Dili and</w:t>
      </w:r>
      <w:r w:rsidRPr="00E328E7">
        <w:rPr>
          <w:rFonts w:eastAsiaTheme="minorHAnsi"/>
          <w:spacing w:val="53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have</w:t>
      </w:r>
      <w:r w:rsidRPr="00E328E7">
        <w:rPr>
          <w:rFonts w:eastAsiaTheme="minorHAnsi"/>
          <w:spacing w:val="45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legal</w:t>
      </w:r>
      <w:r w:rsidRPr="00E328E7">
        <w:rPr>
          <w:rFonts w:eastAsiaTheme="minorHAnsi"/>
          <w:spacing w:val="39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capacity</w:t>
      </w:r>
      <w:r w:rsidRPr="00E328E7">
        <w:rPr>
          <w:rFonts w:eastAsiaTheme="minorHAnsi"/>
          <w:spacing w:val="45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to</w:t>
      </w:r>
      <w:r w:rsidRPr="00E328E7">
        <w:rPr>
          <w:rFonts w:eastAsiaTheme="minorHAnsi"/>
          <w:w w:val="119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perform</w:t>
      </w:r>
      <w:r w:rsidRPr="00E328E7">
        <w:rPr>
          <w:rFonts w:eastAsiaTheme="minorHAnsi"/>
          <w:spacing w:val="34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the</w:t>
      </w:r>
      <w:r w:rsidRPr="00E328E7">
        <w:rPr>
          <w:rFonts w:eastAsiaTheme="minorHAnsi"/>
          <w:spacing w:val="27"/>
          <w:w w:val="105"/>
          <w:sz w:val="18"/>
          <w:szCs w:val="18"/>
        </w:rPr>
        <w:t xml:space="preserve"> </w:t>
      </w:r>
      <w:r w:rsidR="00E328E7" w:rsidRPr="00E328E7">
        <w:rPr>
          <w:rFonts w:eastAsiaTheme="minorHAnsi"/>
          <w:w w:val="105"/>
          <w:sz w:val="18"/>
          <w:szCs w:val="18"/>
        </w:rPr>
        <w:t>product</w:t>
      </w:r>
      <w:r w:rsidRPr="00E328E7">
        <w:rPr>
          <w:rFonts w:eastAsiaTheme="minorHAnsi"/>
          <w:spacing w:val="38"/>
          <w:w w:val="105"/>
          <w:sz w:val="18"/>
          <w:szCs w:val="18"/>
        </w:rPr>
        <w:t xml:space="preserve"> </w:t>
      </w:r>
      <w:r w:rsidR="00973037" w:rsidRPr="00E328E7">
        <w:rPr>
          <w:rFonts w:eastAsiaTheme="minorHAnsi"/>
          <w:spacing w:val="38"/>
          <w:w w:val="105"/>
          <w:sz w:val="18"/>
          <w:szCs w:val="18"/>
        </w:rPr>
        <w:t xml:space="preserve">supply </w:t>
      </w:r>
      <w:r w:rsidRPr="00E328E7">
        <w:rPr>
          <w:rFonts w:eastAsiaTheme="minorHAnsi"/>
          <w:w w:val="105"/>
          <w:sz w:val="18"/>
          <w:szCs w:val="18"/>
        </w:rPr>
        <w:t>in</w:t>
      </w:r>
      <w:r w:rsidRPr="00E328E7">
        <w:rPr>
          <w:rFonts w:eastAsiaTheme="minorHAnsi"/>
          <w:spacing w:val="-25"/>
          <w:w w:val="105"/>
          <w:sz w:val="18"/>
          <w:szCs w:val="18"/>
        </w:rPr>
        <w:t xml:space="preserve"> </w:t>
      </w:r>
      <w:r w:rsidR="00973037" w:rsidRPr="00E328E7">
        <w:rPr>
          <w:rFonts w:eastAsiaTheme="minorHAnsi"/>
          <w:spacing w:val="-25"/>
          <w:w w:val="105"/>
          <w:sz w:val="18"/>
          <w:szCs w:val="18"/>
        </w:rPr>
        <w:t xml:space="preserve">  </w:t>
      </w:r>
      <w:r w:rsidRPr="00E328E7">
        <w:rPr>
          <w:rFonts w:eastAsiaTheme="minorHAnsi"/>
          <w:color w:val="3B3B3B"/>
          <w:w w:val="105"/>
          <w:sz w:val="18"/>
          <w:szCs w:val="18"/>
        </w:rPr>
        <w:t>the</w:t>
      </w:r>
      <w:r w:rsidRPr="00E328E7">
        <w:rPr>
          <w:rFonts w:eastAsiaTheme="minorHAnsi"/>
          <w:color w:val="3B3B3B"/>
          <w:spacing w:val="14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country</w:t>
      </w:r>
      <w:r w:rsidRPr="00E328E7">
        <w:rPr>
          <w:rFonts w:eastAsiaTheme="minorHAnsi"/>
          <w:spacing w:val="12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or</w:t>
      </w:r>
      <w:r w:rsidRPr="00E328E7">
        <w:rPr>
          <w:rFonts w:eastAsiaTheme="minorHAnsi"/>
          <w:spacing w:val="9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through</w:t>
      </w:r>
      <w:r w:rsidRPr="00E328E7">
        <w:rPr>
          <w:rFonts w:eastAsiaTheme="minorHAnsi"/>
          <w:spacing w:val="42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an</w:t>
      </w:r>
      <w:r w:rsidRPr="00E328E7">
        <w:rPr>
          <w:rFonts w:eastAsiaTheme="minorHAnsi"/>
          <w:spacing w:val="10"/>
          <w:w w:val="105"/>
          <w:sz w:val="18"/>
          <w:szCs w:val="18"/>
        </w:rPr>
        <w:t xml:space="preserve"> </w:t>
      </w:r>
      <w:r w:rsidRPr="00E328E7">
        <w:rPr>
          <w:rFonts w:eastAsiaTheme="minorHAnsi"/>
          <w:w w:val="105"/>
          <w:sz w:val="18"/>
          <w:szCs w:val="18"/>
        </w:rPr>
        <w:t>authorized</w:t>
      </w:r>
      <w:r w:rsidRPr="00E328E7">
        <w:rPr>
          <w:rFonts w:eastAsiaTheme="minorHAnsi"/>
          <w:spacing w:val="39"/>
          <w:w w:val="105"/>
          <w:sz w:val="18"/>
          <w:szCs w:val="18"/>
        </w:rPr>
        <w:t xml:space="preserve"> </w:t>
      </w:r>
      <w:r w:rsidRPr="00E328E7">
        <w:rPr>
          <w:rFonts w:eastAsiaTheme="minorHAnsi"/>
          <w:color w:val="3B3B3B"/>
          <w:w w:val="105"/>
          <w:sz w:val="18"/>
          <w:szCs w:val="18"/>
        </w:rPr>
        <w:t>representative in Timor</w:t>
      </w:r>
      <w:r w:rsidR="0077030C" w:rsidRPr="00E328E7">
        <w:rPr>
          <w:rFonts w:eastAsiaTheme="minorHAnsi"/>
          <w:color w:val="3B3B3B"/>
          <w:w w:val="105"/>
          <w:sz w:val="18"/>
          <w:szCs w:val="18"/>
        </w:rPr>
        <w:t xml:space="preserve"> </w:t>
      </w:r>
      <w:proofErr w:type="spellStart"/>
      <w:r w:rsidR="0077030C" w:rsidRPr="00E328E7">
        <w:rPr>
          <w:rFonts w:eastAsiaTheme="minorHAnsi"/>
          <w:color w:val="3B3B3B"/>
          <w:w w:val="105"/>
          <w:sz w:val="18"/>
          <w:szCs w:val="18"/>
        </w:rPr>
        <w:t>Leste</w:t>
      </w:r>
      <w:proofErr w:type="spellEnd"/>
      <w:r w:rsidR="0077030C" w:rsidRPr="00E328E7">
        <w:rPr>
          <w:rFonts w:eastAsiaTheme="minorHAnsi"/>
          <w:color w:val="3B3B3B"/>
          <w:w w:val="105"/>
          <w:sz w:val="18"/>
          <w:szCs w:val="18"/>
        </w:rPr>
        <w:t xml:space="preserve">. </w:t>
      </w:r>
    </w:p>
    <w:p w:rsidR="008337D3" w:rsidRPr="00003E69" w:rsidRDefault="008337D3" w:rsidP="00003E69">
      <w:pPr>
        <w:spacing w:after="200" w:line="360" w:lineRule="auto"/>
        <w:rPr>
          <w:rFonts w:eastAsiaTheme="minorHAnsi"/>
          <w:color w:val="3B3B3B"/>
          <w:w w:val="105"/>
          <w:sz w:val="18"/>
          <w:szCs w:val="18"/>
        </w:rPr>
      </w:pPr>
      <w:r w:rsidRPr="00E328E7">
        <w:rPr>
          <w:sz w:val="18"/>
          <w:szCs w:val="18"/>
        </w:rPr>
        <w:t>UNFPA is the lead UN agency th</w:t>
      </w:r>
      <w:r w:rsidRPr="00E328E7">
        <w:rPr>
          <w:sz w:val="18"/>
          <w:szCs w:val="18"/>
          <w:shd w:val="clear" w:color="auto" w:fill="FFFFFF"/>
        </w:rPr>
        <w:t>at expands the possibilities for women and young people to lead healthy sexual and reproductive lives.</w:t>
      </w:r>
      <w:r w:rsidRPr="00E328E7">
        <w:rPr>
          <w:sz w:val="18"/>
          <w:szCs w:val="18"/>
        </w:rPr>
        <w:t xml:space="preserve"> To read more about UNFPA, please go to: </w:t>
      </w:r>
      <w:hyperlink r:id="rId7" w:history="1">
        <w:r w:rsidRPr="00E328E7">
          <w:rPr>
            <w:color w:val="0070C0"/>
            <w:sz w:val="18"/>
            <w:szCs w:val="18"/>
            <w:u w:val="single"/>
          </w:rPr>
          <w:t>UNFPA about us</w:t>
        </w:r>
      </w:hyperlink>
      <w:r w:rsidR="00003E69">
        <w:rPr>
          <w:color w:val="0070C0"/>
          <w:sz w:val="18"/>
          <w:szCs w:val="18"/>
          <w:u w:val="single"/>
        </w:rPr>
        <w:t>,</w:t>
      </w:r>
    </w:p>
    <w:p w:rsidR="008337D3" w:rsidRPr="00D047FE" w:rsidRDefault="008337D3" w:rsidP="008337D3">
      <w:pPr>
        <w:pStyle w:val="letter"/>
        <w:jc w:val="both"/>
        <w:rPr>
          <w:sz w:val="18"/>
          <w:szCs w:val="18"/>
        </w:rPr>
      </w:pPr>
      <w:r w:rsidRPr="00E328E7">
        <w:rPr>
          <w:sz w:val="18"/>
          <w:szCs w:val="18"/>
        </w:rPr>
        <w:t xml:space="preserve">Details of the required quotation forms could be obtained from UNFPA Office, UN House, </w:t>
      </w:r>
      <w:proofErr w:type="spellStart"/>
      <w:r w:rsidRPr="00E328E7">
        <w:rPr>
          <w:sz w:val="18"/>
          <w:szCs w:val="18"/>
        </w:rPr>
        <w:t>Caicoli</w:t>
      </w:r>
      <w:proofErr w:type="spellEnd"/>
      <w:r w:rsidRPr="00E328E7">
        <w:rPr>
          <w:sz w:val="18"/>
          <w:szCs w:val="18"/>
        </w:rPr>
        <w:t xml:space="preserve"> Street, Dili</w:t>
      </w:r>
      <w:r w:rsidR="00003E69">
        <w:rPr>
          <w:sz w:val="18"/>
          <w:szCs w:val="18"/>
        </w:rPr>
        <w:t xml:space="preserve">, Timor – </w:t>
      </w:r>
      <w:proofErr w:type="spellStart"/>
      <w:r w:rsidR="00003E69">
        <w:rPr>
          <w:sz w:val="18"/>
          <w:szCs w:val="18"/>
        </w:rPr>
        <w:t>Leste</w:t>
      </w:r>
      <w:proofErr w:type="spellEnd"/>
      <w:r w:rsidR="00003E69">
        <w:rPr>
          <w:sz w:val="18"/>
          <w:szCs w:val="18"/>
        </w:rPr>
        <w:t>.</w:t>
      </w:r>
      <w:r w:rsidRPr="00E328E7">
        <w:rPr>
          <w:sz w:val="18"/>
          <w:szCs w:val="18"/>
        </w:rPr>
        <w:t xml:space="preserve"> Contact person </w:t>
      </w:r>
      <w:r w:rsidRPr="00D047FE">
        <w:rPr>
          <w:sz w:val="18"/>
          <w:szCs w:val="18"/>
        </w:rPr>
        <w:t xml:space="preserve">Mr. </w:t>
      </w:r>
      <w:proofErr w:type="spellStart"/>
      <w:r w:rsidRPr="00D047FE">
        <w:rPr>
          <w:sz w:val="18"/>
          <w:szCs w:val="18"/>
        </w:rPr>
        <w:t>Alcino</w:t>
      </w:r>
      <w:proofErr w:type="spellEnd"/>
      <w:r w:rsidRPr="00D047FE">
        <w:rPr>
          <w:sz w:val="18"/>
          <w:szCs w:val="18"/>
        </w:rPr>
        <w:t xml:space="preserve"> </w:t>
      </w:r>
      <w:proofErr w:type="spellStart"/>
      <w:r w:rsidRPr="00D047FE">
        <w:rPr>
          <w:sz w:val="18"/>
          <w:szCs w:val="18"/>
        </w:rPr>
        <w:t>Fer</w:t>
      </w:r>
      <w:r w:rsidR="009A00E4" w:rsidRPr="00D047FE">
        <w:rPr>
          <w:sz w:val="18"/>
          <w:szCs w:val="18"/>
        </w:rPr>
        <w:t>nandes</w:t>
      </w:r>
      <w:proofErr w:type="spellEnd"/>
      <w:r w:rsidR="009A00E4" w:rsidRPr="00D047FE">
        <w:rPr>
          <w:sz w:val="18"/>
          <w:szCs w:val="18"/>
        </w:rPr>
        <w:t>, phone number +67078186506</w:t>
      </w:r>
    </w:p>
    <w:p w:rsidR="008337D3" w:rsidRPr="00D047FE" w:rsidRDefault="008337D3" w:rsidP="008337D3">
      <w:pPr>
        <w:pStyle w:val="letter"/>
        <w:jc w:val="both"/>
        <w:rPr>
          <w:sz w:val="18"/>
          <w:szCs w:val="18"/>
        </w:rPr>
      </w:pPr>
    </w:p>
    <w:p w:rsidR="004D6189" w:rsidRDefault="008337D3" w:rsidP="00313A38">
      <w:pPr>
        <w:spacing w:line="360" w:lineRule="auto"/>
        <w:rPr>
          <w:sz w:val="18"/>
          <w:szCs w:val="18"/>
        </w:rPr>
      </w:pPr>
      <w:r w:rsidRPr="00D047FE">
        <w:rPr>
          <w:sz w:val="18"/>
          <w:szCs w:val="18"/>
        </w:rPr>
        <w:t xml:space="preserve">If you are interested, you have to collect the RFQ </w:t>
      </w:r>
      <w:r w:rsidR="00313A38">
        <w:rPr>
          <w:sz w:val="18"/>
          <w:szCs w:val="18"/>
        </w:rPr>
        <w:t xml:space="preserve">form </w:t>
      </w:r>
      <w:r w:rsidRPr="00D047FE">
        <w:rPr>
          <w:sz w:val="18"/>
          <w:szCs w:val="18"/>
        </w:rPr>
        <w:t>at UNFPA Office to fill and send your Quotation</w:t>
      </w:r>
      <w:r w:rsidR="009F13D1">
        <w:rPr>
          <w:sz w:val="18"/>
          <w:szCs w:val="18"/>
        </w:rPr>
        <w:t xml:space="preserve"> in email or in sealed envelope</w:t>
      </w:r>
      <w:r w:rsidRPr="00D047FE">
        <w:rPr>
          <w:sz w:val="18"/>
          <w:szCs w:val="18"/>
        </w:rPr>
        <w:t xml:space="preserve"> to Mr. </w:t>
      </w:r>
      <w:proofErr w:type="spellStart"/>
      <w:r w:rsidRPr="00D047FE">
        <w:rPr>
          <w:sz w:val="18"/>
          <w:szCs w:val="18"/>
        </w:rPr>
        <w:t>Alcino</w:t>
      </w:r>
      <w:proofErr w:type="spellEnd"/>
      <w:r w:rsidRPr="00D047FE">
        <w:rPr>
          <w:sz w:val="18"/>
          <w:szCs w:val="18"/>
        </w:rPr>
        <w:t xml:space="preserve"> </w:t>
      </w:r>
      <w:proofErr w:type="spellStart"/>
      <w:r w:rsidRPr="00D047FE">
        <w:rPr>
          <w:sz w:val="18"/>
          <w:szCs w:val="18"/>
        </w:rPr>
        <w:t>Fernandes</w:t>
      </w:r>
      <w:proofErr w:type="spellEnd"/>
      <w:r w:rsidRPr="00D047FE">
        <w:rPr>
          <w:sz w:val="18"/>
          <w:szCs w:val="18"/>
        </w:rPr>
        <w:t>, Program Assistant for Logistics and Procurement before or no later than 16</w:t>
      </w:r>
      <w:r w:rsidR="00494791" w:rsidRPr="00D047FE">
        <w:rPr>
          <w:sz w:val="18"/>
          <w:szCs w:val="18"/>
        </w:rPr>
        <w:t>.00 hours on 26</w:t>
      </w:r>
      <w:r w:rsidRPr="00D047FE">
        <w:rPr>
          <w:sz w:val="18"/>
          <w:szCs w:val="18"/>
          <w:vertAlign w:val="superscript"/>
        </w:rPr>
        <w:t>th</w:t>
      </w:r>
      <w:r w:rsidR="00494791" w:rsidRPr="00D047FE">
        <w:rPr>
          <w:sz w:val="18"/>
          <w:szCs w:val="18"/>
        </w:rPr>
        <w:t xml:space="preserve"> Octo</w:t>
      </w:r>
      <w:r w:rsidR="009A00E4" w:rsidRPr="00D047FE">
        <w:rPr>
          <w:sz w:val="18"/>
          <w:szCs w:val="18"/>
        </w:rPr>
        <w:t>ber</w:t>
      </w:r>
      <w:r w:rsidRPr="00D047FE">
        <w:rPr>
          <w:sz w:val="18"/>
          <w:szCs w:val="18"/>
        </w:rPr>
        <w:t xml:space="preserve"> 2020. </w:t>
      </w:r>
      <w:r w:rsidR="00D047FE">
        <w:rPr>
          <w:sz w:val="18"/>
          <w:szCs w:val="18"/>
        </w:rPr>
        <w:t>The email to submit RFQ</w:t>
      </w:r>
      <w:r w:rsidR="00D047FE" w:rsidRPr="00D047FE">
        <w:rPr>
          <w:b/>
          <w:sz w:val="18"/>
          <w:szCs w:val="18"/>
          <w:lang w:val="pt-PT"/>
        </w:rPr>
        <w:t xml:space="preserve"> </w:t>
      </w:r>
      <w:r w:rsidR="00D047FE" w:rsidRPr="00E328E7">
        <w:rPr>
          <w:b/>
          <w:sz w:val="18"/>
          <w:szCs w:val="18"/>
          <w:lang w:val="pt-PT"/>
        </w:rPr>
        <w:t>UNFPA/TLS/RFQ/2020/009</w:t>
      </w:r>
      <w:r w:rsidR="00D047FE">
        <w:rPr>
          <w:sz w:val="18"/>
          <w:szCs w:val="18"/>
        </w:rPr>
        <w:t xml:space="preserve"> is </w:t>
      </w:r>
      <w:r w:rsidR="00D047FE" w:rsidRPr="00491B38">
        <w:rPr>
          <w:rFonts w:asciiTheme="minorHAnsi" w:hAnsiTheme="minorHAnsi" w:cstheme="minorHAnsi"/>
          <w:lang w:val="en-GB"/>
        </w:rPr>
        <w:t>(</w:t>
      </w:r>
      <w:hyperlink r:id="rId8" w:history="1">
        <w:r w:rsidR="00D047FE" w:rsidRPr="00FE4319">
          <w:rPr>
            <w:rStyle w:val="Hyperlink"/>
            <w:rFonts w:asciiTheme="minorHAnsi" w:hAnsiTheme="minorHAnsi" w:cstheme="minorHAnsi"/>
            <w:lang w:val="en-GB"/>
          </w:rPr>
          <w:t>timor-leste.office@unfpa.org</w:t>
        </w:r>
      </w:hyperlink>
      <w:r w:rsidR="00313A38">
        <w:rPr>
          <w:rStyle w:val="Hyperlink"/>
          <w:rFonts w:asciiTheme="minorHAnsi" w:hAnsiTheme="minorHAnsi" w:cstheme="minorHAnsi"/>
          <w:lang w:val="en-GB"/>
        </w:rPr>
        <w:t>)</w:t>
      </w:r>
      <w:r w:rsidR="00313A38">
        <w:rPr>
          <w:sz w:val="18"/>
          <w:szCs w:val="18"/>
        </w:rPr>
        <w:t>.</w:t>
      </w:r>
    </w:p>
    <w:p w:rsidR="00313A38" w:rsidRPr="00E328E7" w:rsidRDefault="00313A38" w:rsidP="00313A38">
      <w:pPr>
        <w:spacing w:line="360" w:lineRule="auto"/>
        <w:rPr>
          <w:sz w:val="18"/>
          <w:szCs w:val="18"/>
        </w:rPr>
      </w:pPr>
    </w:p>
    <w:bookmarkEnd w:id="0"/>
    <w:p w:rsidR="004D6189" w:rsidRDefault="009F13D1">
      <w:pPr>
        <w:rPr>
          <w:sz w:val="18"/>
          <w:szCs w:val="18"/>
        </w:rPr>
      </w:pPr>
      <w:r>
        <w:rPr>
          <w:sz w:val="18"/>
          <w:szCs w:val="18"/>
        </w:rPr>
        <w:t>Approved:</w:t>
      </w:r>
    </w:p>
    <w:p w:rsidR="009F13D1" w:rsidRDefault="009F13D1">
      <w:pPr>
        <w:rPr>
          <w:sz w:val="18"/>
          <w:szCs w:val="18"/>
        </w:rPr>
      </w:pPr>
    </w:p>
    <w:p w:rsidR="009F13D1" w:rsidRPr="00E328E7" w:rsidRDefault="009F13D1">
      <w:pPr>
        <w:rPr>
          <w:sz w:val="18"/>
          <w:szCs w:val="18"/>
        </w:rPr>
      </w:pPr>
    </w:p>
    <w:p w:rsidR="004D6189" w:rsidRPr="00E328E7" w:rsidRDefault="004D6189">
      <w:pPr>
        <w:rPr>
          <w:sz w:val="18"/>
          <w:szCs w:val="18"/>
        </w:rPr>
      </w:pPr>
      <w:r w:rsidRPr="00E328E7">
        <w:rPr>
          <w:sz w:val="18"/>
          <w:szCs w:val="18"/>
        </w:rPr>
        <w:t>Ronny Lindstrom</w:t>
      </w:r>
    </w:p>
    <w:p w:rsidR="00067186" w:rsidRPr="00E328E7" w:rsidRDefault="004D6189">
      <w:pPr>
        <w:rPr>
          <w:sz w:val="18"/>
          <w:szCs w:val="18"/>
        </w:rPr>
      </w:pPr>
      <w:r w:rsidRPr="00E328E7">
        <w:rPr>
          <w:sz w:val="18"/>
          <w:szCs w:val="18"/>
        </w:rPr>
        <w:t>UNFPA Representative</w:t>
      </w:r>
    </w:p>
    <w:sectPr w:rsidR="00067186" w:rsidRPr="00E328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20" w:rsidRDefault="003F4520" w:rsidP="008337D3">
      <w:r>
        <w:separator/>
      </w:r>
    </w:p>
  </w:endnote>
  <w:endnote w:type="continuationSeparator" w:id="0">
    <w:p w:rsidR="003F4520" w:rsidRDefault="003F4520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20" w:rsidRDefault="003F4520" w:rsidP="008337D3">
      <w:r>
        <w:separator/>
      </w:r>
    </w:p>
  </w:footnote>
  <w:footnote w:type="continuationSeparator" w:id="0">
    <w:p w:rsidR="003F4520" w:rsidRDefault="003F4520" w:rsidP="0083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3" w:rsidRDefault="008337D3" w:rsidP="008337D3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337D3" w:rsidRPr="00F4441C" w:rsidTr="006062B7">
      <w:trPr>
        <w:trHeight w:val="1142"/>
      </w:trPr>
      <w:tc>
        <w:tcPr>
          <w:tcW w:w="4995" w:type="dxa"/>
          <w:shd w:val="clear" w:color="auto" w:fill="auto"/>
        </w:tcPr>
        <w:p w:rsidR="008337D3" w:rsidRPr="00D6687E" w:rsidRDefault="008337D3" w:rsidP="008337D3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56927A7" wp14:editId="2E22F46E">
                <wp:extent cx="971550" cy="409575"/>
                <wp:effectExtent l="0" t="0" r="0" b="9525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8337D3" w:rsidRPr="00B76DFF" w:rsidRDefault="008337D3" w:rsidP="008337D3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8337D3" w:rsidRPr="00B76DFF" w:rsidRDefault="008337D3" w:rsidP="008337D3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 xml:space="preserve">Procurement </w:t>
          </w:r>
          <w:r>
            <w:rPr>
              <w:rFonts w:ascii="Calibri" w:hAnsi="Calibri" w:cs="Arial"/>
              <w:sz w:val="18"/>
              <w:szCs w:val="18"/>
            </w:rPr>
            <w:t>Unit</w:t>
          </w:r>
        </w:p>
        <w:p w:rsidR="008337D3" w:rsidRPr="005C4EA9" w:rsidRDefault="008337D3" w:rsidP="008337D3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5C4EA9">
            <w:rPr>
              <w:rFonts w:ascii="Calibri" w:hAnsi="Calibri" w:cs="Arial"/>
              <w:sz w:val="18"/>
              <w:szCs w:val="18"/>
              <w:lang w:val="it-IT"/>
            </w:rPr>
            <w:t>UN House, Caicoli Street,Dili</w:t>
          </w:r>
          <w:r w:rsidR="009E399D">
            <w:rPr>
              <w:rFonts w:ascii="Calibri" w:hAnsi="Calibri" w:cs="Arial"/>
              <w:sz w:val="18"/>
              <w:szCs w:val="18"/>
              <w:lang w:val="it-IT"/>
            </w:rPr>
            <w:t>, Timor Leste</w:t>
          </w:r>
        </w:p>
        <w:p w:rsidR="008337D3" w:rsidRPr="00F4441C" w:rsidRDefault="008337D3" w:rsidP="008337D3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proofErr w:type="gramStart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E-mail:</w:t>
          </w:r>
          <w:proofErr w:type="gramEnd"/>
          <w:r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  <w:r>
            <w:rPr>
              <w:rFonts w:ascii="Calibri" w:hAnsi="Calibri" w:cs="Arial"/>
              <w:sz w:val="18"/>
              <w:szCs w:val="18"/>
              <w:lang w:val="fr-FR"/>
            </w:rPr>
            <w:t>afernandes</w:t>
          </w:r>
          <w:r w:rsidRPr="0009782F">
            <w:rPr>
              <w:rFonts w:ascii="Calibri" w:hAnsi="Calibri" w:cs="Arial"/>
              <w:i/>
              <w:sz w:val="18"/>
              <w:szCs w:val="18"/>
              <w:lang w:val="fr-FR"/>
            </w:rPr>
            <w:t>@unfpa.org</w:t>
          </w:r>
        </w:p>
        <w:p w:rsidR="008337D3" w:rsidRPr="00F4441C" w:rsidRDefault="008337D3" w:rsidP="008337D3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8337D3" w:rsidRDefault="0083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539"/>
    <w:multiLevelType w:val="hybridMultilevel"/>
    <w:tmpl w:val="335CBC18"/>
    <w:lvl w:ilvl="0" w:tplc="03C601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91414"/>
    <w:multiLevelType w:val="hybridMultilevel"/>
    <w:tmpl w:val="2E003E40"/>
    <w:lvl w:ilvl="0" w:tplc="BC00CF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3"/>
    <w:rsid w:val="00003E69"/>
    <w:rsid w:val="000642F1"/>
    <w:rsid w:val="00067186"/>
    <w:rsid w:val="001B3C1E"/>
    <w:rsid w:val="00313A38"/>
    <w:rsid w:val="00364994"/>
    <w:rsid w:val="003F4520"/>
    <w:rsid w:val="00494791"/>
    <w:rsid w:val="004D6189"/>
    <w:rsid w:val="005144AA"/>
    <w:rsid w:val="0059713F"/>
    <w:rsid w:val="005D7D3E"/>
    <w:rsid w:val="006244E8"/>
    <w:rsid w:val="006D69B7"/>
    <w:rsid w:val="007026B1"/>
    <w:rsid w:val="0077030C"/>
    <w:rsid w:val="008337D3"/>
    <w:rsid w:val="0086346E"/>
    <w:rsid w:val="008D7CF7"/>
    <w:rsid w:val="0091375A"/>
    <w:rsid w:val="00973037"/>
    <w:rsid w:val="009A00E4"/>
    <w:rsid w:val="009D7E43"/>
    <w:rsid w:val="009E399D"/>
    <w:rsid w:val="009F13D1"/>
    <w:rsid w:val="00B2761D"/>
    <w:rsid w:val="00B87A43"/>
    <w:rsid w:val="00B97601"/>
    <w:rsid w:val="00D047FE"/>
    <w:rsid w:val="00D54AA3"/>
    <w:rsid w:val="00E328E7"/>
    <w:rsid w:val="00F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A922A-1864-4F33-82E1-7099F15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8337D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8337D3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337D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337D3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8337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3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D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337D3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r-leste.office@unf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fpa.org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estelvidio</dc:creator>
  <cp:keywords/>
  <dc:description/>
  <cp:lastModifiedBy>UNFPA Prog1</cp:lastModifiedBy>
  <cp:revision>2</cp:revision>
  <cp:lastPrinted>2020-10-12T06:06:00Z</cp:lastPrinted>
  <dcterms:created xsi:type="dcterms:W3CDTF">2020-10-13T02:11:00Z</dcterms:created>
  <dcterms:modified xsi:type="dcterms:W3CDTF">2020-10-13T02:11:00Z</dcterms:modified>
</cp:coreProperties>
</file>